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0763b408449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2016</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8407</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Senators Schoesler and Nelson</w:t>
      </w:r>
    </w:p>
    <w:p/>
    <w:p>
      <w:r>
        <w:rPr>
          <w:t xml:space="preserve">Prefiled 03/10/16.</w:t>
        </w:rPr>
      </w:r>
    </w:p>
    <w:p>
      <w:r>
        <w:br/>
      </w:r>
    </w:p>
    <w:p>
      <w:pPr>
        <w:spacing w:before="0" w:after="0" w:line="408" w:lineRule="exact"/>
        <w:ind w:left="0" w:right="0" w:firstLine="576"/>
        <w:jc w:val="left"/>
      </w:pPr>
      <w:r>
        <w:rPr/>
        <w:t xml:space="preserve">WHEREAS, Bills, joint resolutions, joint memorials, and concurrent resolutions introduced at the 2016 regular session of the Sixty-fourth Legislature may require that they be considered at the 2016 first special session of the Sixty-fourth Legislature; and</w:t>
      </w:r>
    </w:p>
    <w:p>
      <w:pPr>
        <w:spacing w:before="0" w:after="0" w:line="408" w:lineRule="exact"/>
        <w:ind w:left="0" w:right="0" w:firstLine="576"/>
        <w:jc w:val="left"/>
      </w:pPr>
      <w:r>
        <w:rPr/>
        <w:t xml:space="preserve">WHEREAS, The public interest requires that the business of the 2016 first special session of the Sixty-fourth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2016 regular session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81c79505ba804b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0d7acf00e43e2" /><Relationship Type="http://schemas.openxmlformats.org/officeDocument/2006/relationships/footer" Target="/word/footer.xml" Id="R81c79505ba804b2a" /></Relationships>
</file>