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8c5b313404c69" /></Relationships>
</file>

<file path=word/document.xml><?xml version="1.0" encoding="utf-8"?>
<w:document xmlns:w="http://schemas.openxmlformats.org/wordprocessingml/2006/main">
  <w:body>
    <w:p>
      <w:pPr>
        <w:jc w:val="center"/>
      </w:pPr>
      <w:r>
        <w:t>SENATE RESOLUTION</w:t>
      </w:r>
    </w:p>
    <w:p>
      <w:pPr>
        <w:jc w:val="center"/>
      </w:pPr>
      <w:r>
        <w:t>8703</w:t>
      </w:r>
    </w:p>
    <w:p/>
    <w:p/>
    <w:p>
      <w:r>
        <w:t xml:space="preserve">By </w:t>
      </w:r>
      <w:r>
        <w:t>Senators Hobbs, Carlyle, Liias, Warnick, Pedersen, McCoy, Braun, Mullet, Honeyford, Sheldon, Conway, Rivers, Ericksen, Dammeier, McAuliffe, King, Litzow, Ranker, Angel, Bailey, Hewitt, Padden, Chase, Nelson, Fraser, Rolfes, Fain, Cleveland, Takko, and Brown</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1,500 soldiers and airmen and airwomen to respond to the state's largest wildfire;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and airwomen continue to provide critical support to federal missions around the world and are willing to make the ultimate sacrifice to protect our freedoms and enhance our safety, including Sergeant First Class Matthew McClintock, who leaves behind a young wife and infant son after he was killed in action in Afghanistan earlier this year;</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206faf78144bd" /></Relationships>
</file>