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2a932ebad4e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1126</w:t>
      </w:r>
    </w:p>
    <w:p>
      <w:pPr>
        <w:jc w:val="center"/>
        <w:spacing w:before="480" w:after="0" w:line="240"/>
      </w:pPr>
      <w:r>
        <w:t xml:space="preserve">Chapter </w:t>
      </w:r>
      <w:r>
        <w:rPr/>
        <w:t xml:space="preserve">199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EARLY LEARNING--FATALITY REVIEWS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9:40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MacEwen, Tarleton, Walsh, Goodman, Senn, Gregerson, and Ryu)</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early learning fatality reviews; amending RCW 43.06A.100;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43.215.400 through 43.215.450 or a licensed child care center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2013 c 23 s 80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w:t>
      </w:r>
      <w:r>
        <w:rPr>
          <w:u w:val="single"/>
        </w:rPr>
        <w:t xml:space="preserve">and the department of early learning</w:t>
      </w:r>
      <w:r>
        <w:rPr/>
        <w:t xml:space="preserv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Allow the ombuds or the ombuds's designee to communicate privately with any child in the custody of the department </w:t>
      </w:r>
      <w:r>
        <w:rPr>
          <w:u w:val="single"/>
        </w:rPr>
        <w:t xml:space="preserve">of social and health services, or any child who is part of a near fatality investigation by the department of early learning,</w:t>
      </w:r>
      <w:r>
        <w:rPr/>
        <w:t xml:space="preserve"> for the purposes of carrying out its duties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ombuds's request, grant the ombuds or the ombuds's designee the right to access, inspect, and copy all relevant information, records, or documents in the possession or control of the department </w:t>
      </w:r>
      <w:r>
        <w:rPr>
          <w:u w:val="single"/>
        </w:rPr>
        <w:t xml:space="preserve">of social and health services or the department of early learning</w:t>
      </w:r>
      <w:r>
        <w:rPr/>
        <w:t xml:space="preserve"> that the ombuds considers necessary in an investigation;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Grant the office of the family and children's ombuds unrestricted online access to the </w:t>
      </w:r>
      <w:r>
        <w:rPr>
          <w:u w:val="single"/>
        </w:rPr>
        <w:t xml:space="preserve">child welfare</w:t>
      </w:r>
      <w:r>
        <w:rPr/>
        <w:t xml:space="preserve"> case </w:t>
      </w:r>
      <w:r>
        <w:t>((</w:t>
      </w:r>
      <w:r>
        <w:rPr>
          <w:strike/>
        </w:rPr>
        <w:t xml:space="preserve">and</w:t>
      </w:r>
      <w:r>
        <w:t>))</w:t>
      </w:r>
      <w:r>
        <w:rPr/>
        <w:t xml:space="preserve"> management information system </w:t>
      </w:r>
      <w:r>
        <w:t>((</w:t>
      </w:r>
      <w:r>
        <w:rPr>
          <w:strike/>
        </w:rPr>
        <w:t xml:space="preserve">(CAMIS) or any successor</w:t>
      </w:r>
      <w:r>
        <w:t>))</w:t>
      </w:r>
      <w:r>
        <w:rPr>
          <w:u w:val="single"/>
        </w:rPr>
        <w:t xml:space="preserve">and the department of early learning data</w:t>
      </w:r>
      <w:r>
        <w:rPr/>
        <w:t xml:space="preserve"> information system for the purpose of carrying out its duties under this chapter.</w:t>
      </w:r>
    </w:p>
    <w:p>
      <w:pPr>
        <w:spacing w:before="0" w:after="0" w:line="408" w:lineRule="exact"/>
        <w:ind w:left="0" w:right="0" w:firstLine="576"/>
        <w:jc w:val="left"/>
      </w:pPr>
      <w:r>
        <w:rPr>
          <w:u w:val="single"/>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u w:val="single"/>
        </w:rPr>
        <w:t xml:space="preserve">(3)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602d360af43c4b9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8b551895d46f2" /><Relationship Type="http://schemas.openxmlformats.org/officeDocument/2006/relationships/footer" Target="/word/footer.xml" Id="R602d360af43c4b99" /></Relationships>
</file>