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38f1d726224c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1194</w:t>
      </w:r>
    </w:p>
    <w:p>
      <w:pPr>
        <w:jc w:val="center"/>
        <w:spacing w:before="480" w:after="0" w:line="240"/>
      </w:pPr>
      <w:r>
        <w:t xml:space="preserve">Chapter </w:t>
      </w:r>
      <w:r>
        <w:rPr/>
        <w:t xml:space="preserve">78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RETIREMENT SYSTEMS--DEATH BENEFITS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89</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3:12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Labor (originally sponsored by Representatives Kirby, Holy, Van De Wege, Hayes, Stokesbary, Fitzgibbon, and Bergquist; by request of LEOFF Plan 2 Retirement Board)</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death benefits of a surviving spouse of a member of the law enforcement officers' and firefighters' retirement system or the state patrol retirement system; and amending RCW 41.26.510 and 43.43.285.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2010 c 261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 who is killed in the course of employment, as determined by the director of the department of labor and industries, or the retirement allowance of a member who has left the employ of an employer due to service in the national guard or military reserves and dies while honorably serving in the national guard or military reserves during a period of war as defined in RCW 41.04.005, 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w:t>
      </w:r>
      <w:r>
        <w:t>((</w:t>
      </w:r>
      <w:r>
        <w:rPr>
          <w:strike/>
        </w:rPr>
        <w:t xml:space="preserve">(16)</w:t>
      </w:r>
      <w:r>
        <w:t>))</w:t>
      </w:r>
      <w:r>
        <w:rPr/>
        <w:t xml:space="preserve"> </w:t>
      </w:r>
      <w:r>
        <w:rPr>
          <w:u w:val="single"/>
        </w:rPr>
        <w:t xml:space="preserve">(5)</w:t>
      </w:r>
      <w:r>
        <w:rPr/>
        <w:t xml:space="preserve">, shall include reimbursement for any payments of premium rates to the Washington state health care authority pursuant to RCW 41.05.080.</w:t>
      </w:r>
    </w:p>
    <w:p>
      <w:pPr>
        <w:spacing w:before="0" w:after="0" w:line="408" w:lineRule="exact"/>
        <w:ind w:left="0" w:right="0" w:firstLine="576"/>
        <w:jc w:val="left"/>
      </w:pPr>
      <w:r>
        <w:rPr>
          <w:u w:val="single"/>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the effective date of this section. The monthly payments to any surviving spouse or domestic partner who received a lump sum payment pursuant to RCW 51.32.050 shall be actuarially reduced to reflect the amount of the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285</w:t>
      </w:r>
      <w:r>
        <w:rPr/>
        <w:t xml:space="preserve"> and 2010 c 261 s 7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(2)(a) The benefit under this section shall be paid only where death occurs as a result of (i) injuries sustained in the course of employment; or (ii) an occupational disease or infection that arises naturally and proximately out of employment covered under this chapter. The determination of eligibility for the benefit shall be made consistent with Title 51 RCW by the department of labor and industries. The department of labor and industries shall notify the department of retirement systems by order under RCW 51.52.050.</w:t>
      </w:r>
    </w:p>
    <w:p>
      <w:pPr>
        <w:spacing w:before="0" w:after="0" w:line="408" w:lineRule="exact"/>
        <w:ind w:left="0" w:right="0" w:firstLine="576"/>
        <w:jc w:val="left"/>
      </w:pPr>
      <w:r>
        <w:rPr/>
        <w:t xml:space="preserve">(b) The retirement allowance paid to the spouse or domestic partner and dependent children of a member who is killed in the course of employment, as set forth in RCW 41.05.011</w:t>
      </w:r>
      <w:r>
        <w:t>((</w:t>
      </w:r>
      <w:r>
        <w:rPr>
          <w:strike/>
        </w:rPr>
        <w:t xml:space="preserve">(16)</w:t>
      </w:r>
      <w:r>
        <w:t>))</w:t>
      </w:r>
      <w:r>
        <w:rPr/>
        <w:t xml:space="preserve"> </w:t>
      </w:r>
      <w:r>
        <w:rPr>
          <w:u w:val="single"/>
        </w:rPr>
        <w:t xml:space="preserve">(5)</w:t>
      </w:r>
      <w:r>
        <w:rPr/>
        <w:t xml:space="preserve">, shall include reimbursement for any payments of premium rates to the Washington state health care authority under RCW 41.05.080.</w:t>
      </w:r>
    </w:p>
    <w:p>
      <w:pPr>
        <w:spacing w:before="0" w:after="0" w:line="408" w:lineRule="exact"/>
        <w:ind w:left="0" w:right="0" w:firstLine="576"/>
        <w:jc w:val="left"/>
      </w:pPr>
      <w:r>
        <w:rPr/>
        <w:t xml:space="preserve">(3)(a)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u w:val="single"/>
        </w:rPr>
        <w:t xml:space="preserve">(4) In addition to the survivor benefit payable under RCW 43.43.270 or 43.43.271, if the surviving spouse or domestic partner of a member whose death occurs as a result of (a) injuries sustained in the course of employment; or (b) an occupational disease or infection that arises naturally and proximately out of employment covered under this chapter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whose benefits under RCW 51.32.050 were suspended or terminated due to remarriage prior to the effective date of this section. The monthly payments to any surviving spouse or domestic partner who received a lump sum payment pursuant to RCW 51.32.050 shall be actuarially reduced to reflect the amount of the lump sum payment.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a0dd5cfd9cbe48e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c73038f184845" /><Relationship Type="http://schemas.openxmlformats.org/officeDocument/2006/relationships/footer" Target="/word/footer.xml" Id="Ra0dd5cfd9cbe48eb" /></Relationships>
</file>