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0da3a6b48494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1263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105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PRIVATE INVESTIGATORS--EXEMPTIONS--ACCOUNTANTS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16,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93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1263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25, 2015 10:43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Stokesbary, Kirby, Vick, Hurst, and Buys</w:t>
      </w:r>
    </w:p>
    <w:p/>
    <w:p>
      <w:r>
        <w:rPr>
          <w:t xml:space="preserve">Read first time 01/16/15.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private investigators; and amending RCW 18.165.020.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165</w:t>
      </w:r>
      <w:r>
        <w:rPr/>
        <w:t xml:space="preserve">.</w:t>
      </w:r>
      <w:r>
        <w:t xml:space="preserve">020</w:t>
      </w:r>
      <w:r>
        <w:rPr/>
        <w:t xml:space="preserve"> and 2000 c 171 s 37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requirements of this chapter do not apply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who is employed exclusively or regularly by one employer and performs investigations solely in connection with the affairs of that employer, if the employer is not a private investigator agency;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officer or employee of the United States or of this state or a political subdivision thereof, while engaged in the performance of the officer's official duties;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engaged exclusively in the business of obtaining and furnishing information about the financial rating of persons;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 attorney-at-law while performing the attorney's duties as an attorney;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licensed collection agency or its employee, while acting within the scope of that person's employment and making an investigation incidental to the business of the agency;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Insurers, agents, and insurance brokers licensed by the state, while performing duties in connection with insurance transacted by them;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A bank subject to the jurisdiction of the department of financial institutions or the comptroller of currency of the United States, or a savings and loan association subject to the jurisdiction of this state or the federal home loan bank board;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A licensed insurance adjuster performing the adjuster's duties within the scope of the adjuster's license;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A secured creditor engaged in the repossession of the creditor's collateral, or a lessor engaged in the repossession of leased property in which it claims an interest;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A person who is a forensic scientist, accident reconstructionist, or other person who performs similar functions and does not hold himself or herself out to be an investigator in any other capacity;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A person solely engaged in the business of securing information about persons or property from public records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(12) A certified public accountant regulated under chapter 18.04 RCW or the employee of a certified public accountant performing duties within the scope of public accountancy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16,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25,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2015.</w:t>
      </w:r>
    </w:p>
    <w:sectPr>
      <w:pgNumType w:start="1"/>
      <w:footerReference xmlns:r="http://schemas.openxmlformats.org/officeDocument/2006/relationships" r:id="Re99772860f9d4759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1263.SL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b2d7a9dc84e63" /><Relationship Type="http://schemas.openxmlformats.org/officeDocument/2006/relationships/footer" Target="/word/footer.xml" Id="Re99772860f9d4759" /></Relationships>
</file>