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e155ec17046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1447</w:t>
      </w:r>
    </w:p>
    <w:p>
      <w:pPr>
        <w:jc w:val="center"/>
        <w:spacing w:before="480" w:after="0" w:line="240"/>
      </w:pPr>
      <w:r>
        <w:t xml:space="preserve">Chapter </w:t>
      </w:r>
      <w:r>
        <w:rPr/>
        <w:t xml:space="preserve">44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ENTERPRISE SERVICES--DEBARMENT AUTHORITY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11:16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Holy, S. Hunt, and Appleton; by request of Department of Enterprise Services)</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debarment authority of the director of enterprise services; and amending RCW 39.26.200.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w:t>
      </w:r>
      <w:r>
        <w:rPr>
          <w:u w:val="single"/>
        </w:rPr>
        <w:t xml:space="preserve">either fine or</w:t>
      </w:r>
      <w:r>
        <w:rPr/>
        <w:t xml:space="preserve"> debar with the specific reason for </w:t>
      </w:r>
      <w:r>
        <w:rPr>
          <w:u w:val="single"/>
        </w:rPr>
        <w:t xml:space="preserve">either</w:t>
      </w:r>
      <w:r>
        <w:rPr/>
        <w:t xml:space="preserve"> the </w:t>
      </w:r>
      <w:r>
        <w:rPr>
          <w:u w:val="single"/>
        </w:rPr>
        <w:t xml:space="preserve">fine or</w:t>
      </w:r>
      <w:r>
        <w:rPr/>
        <w:t xml:space="preserve"> debarment. The department must establish the debarment </w:t>
      </w:r>
      <w:r>
        <w:t>((</w:t>
      </w:r>
      <w:r>
        <w:rPr>
          <w:strike/>
        </w:rPr>
        <w:t xml:space="preserve">process</w:t>
      </w:r>
      <w:r>
        <w:t>))</w:t>
      </w:r>
      <w:r>
        <w:rPr>
          <w:u w:val="single"/>
        </w:rPr>
        <w:t xml:space="preserve">and fining processes</w:t>
      </w:r>
      <w:r>
        <w:rPr/>
        <w:t xml:space="preserve">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w:t>
      </w:r>
      <w:r>
        <w:rPr>
          <w:u w:val="single"/>
        </w:rPr>
        <w:t xml:space="preserve">either fine or</w:t>
      </w:r>
      <w:r>
        <w:rPr/>
        <w:t xml:space="preserve">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87055de27a9242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ddc78df4945c4" /><Relationship Type="http://schemas.openxmlformats.org/officeDocument/2006/relationships/footer" Target="/word/footer.xml" Id="R87055de27a9242dd" /></Relationships>
</file>