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e3b6e483e43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1749</w:t>
      </w:r>
    </w:p>
    <w:p>
      <w:pPr>
        <w:jc w:val="center"/>
        <w:spacing w:before="480" w:after="0" w:line="240"/>
      </w:pPr>
      <w:r>
        <w:t xml:space="preserve">Chapter </w:t>
      </w:r>
      <w:r>
        <w:rPr/>
        <w:t xml:space="preserve">52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CONTRACTORS--REGISTRATION--OWNERS OF PROPERTY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11:20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MacEwen, Manweller, and Condotta)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registration requirements for owners of property; and amending RCW 18.27.010.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2007 c 436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u w:val="single"/>
        </w:rPr>
        <w:t xml:space="preserve">(b)</w:t>
      </w:r>
      <w:r>
        <w:rPr/>
        <w:t xml:space="preserve"> "Contractor" also includes a consultant acting as a general contractor.</w:t>
      </w:r>
    </w:p>
    <w:p>
      <w:pPr>
        <w:spacing w:before="0" w:after="0" w:line="408" w:lineRule="exact"/>
        <w:ind w:left="0" w:right="0" w:firstLine="576"/>
        <w:jc w:val="left"/>
      </w:pPr>
      <w:r>
        <w:rPr>
          <w:u w:val="single"/>
        </w:rPr>
        <w:t xml:space="preserve">(c)</w:t>
      </w:r>
      <w:r>
        <w:rPr/>
        <w:t xml:space="preserve"> "Contractor" also includes any person, firm, corporation, or other entity covered by this subsection </w:t>
      </w:r>
      <w:r>
        <w:rPr>
          <w:u w:val="single"/>
        </w:rPr>
        <w:t xml:space="preserve">(1)</w:t>
      </w:r>
      <w:r>
        <w:rPr/>
        <w:t xml:space="preserve">,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w:t>
      </w:r>
      <w:r>
        <w:rPr>
          <w:u w:val="single"/>
        </w:rPr>
        <w:t xml:space="preserve">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thirty or fewer days.</w:t>
      </w:r>
    </w:p>
    <w:p>
      <w:pPr>
        <w:spacing w:before="0" w:after="0" w:line="408" w:lineRule="exact"/>
        <w:ind w:left="0" w:right="0" w:firstLine="576"/>
        <w:jc w:val="left"/>
      </w:pPr>
      <w:r>
        <w:rPr/>
        <w:t xml:space="preserve">(15)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rPr/>
        <w:t xml:space="preserve">(16) "Verification" means the receipt and duplication by the city, town, or county of a contractor registration card that is current on its face, checking the department's contractor registration database, or calling the department to confirm that the contractor is registered.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559ed217e62940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dbe3bf7c5c40f9" /><Relationship Type="http://schemas.openxmlformats.org/officeDocument/2006/relationships/footer" Target="/word/footer.xml" Id="R559ed217e62940a1" /></Relationships>
</file>