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dc64a624e42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2371</w:t>
      </w:r>
    </w:p>
    <w:p>
      <w:pPr>
        <w:jc w:val="center"/>
        <w:spacing w:before="480" w:after="0" w:line="240"/>
      </w:pPr>
      <w:r>
        <w:t xml:space="preserve">Chapter </w:t>
      </w:r>
      <w:r>
        <w:rPr/>
        <w:t xml:space="preserve">89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JUDICIAL INFORMATION SYSTEM--COURT CONSULTATION--FILING OF DOCUMENT USED</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10:52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Kuderer, Magendanz, Hudgins, McBride, Goodman, Senn, Jinkins, Appleton, and Kilduff</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court's consultation of the judicial information system before granting orders; and amending RCW 2.28.210.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2015 c 140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7.90, 7.92, 9A.46, 10.14, 10.99, 26.50,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w:t>
      </w:r>
      <w:r>
        <w:rPr>
          <w:u w:val="single"/>
        </w:rPr>
        <w:t xml:space="preserve">Upon request of a party, a</w:t>
      </w:r>
      <w:r>
        <w:rPr/>
        <w:t xml:space="preserve">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9150c717519a42f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b336851eb34a7d" /><Relationship Type="http://schemas.openxmlformats.org/officeDocument/2006/relationships/footer" Target="/word/footer.xml" Id="R9150c717519a42fe" /></Relationships>
</file>