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3f4926db9b4f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5027</w:t>
      </w:r>
    </w:p>
    <w:p>
      <w:pPr>
        <w:jc w:val="center"/>
        <w:spacing w:before="480" w:after="0" w:line="240"/>
      </w:pPr>
      <w:r>
        <w:t xml:space="preserve">Chapter </w:t>
      </w:r>
      <w:r>
        <w:rPr/>
        <w:t xml:space="preserve">259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PRESCRIPTION DRUG MONITORING DATABASE--ACCESS--CLINICAL LABORATORIES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42</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77</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11:35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Angel, Darneille, Dammeier, Keiser, Parlette, Cleveland, Bailey, and Chase)</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t xml:space="preserve"> </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 the standards under section 2 of this act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Test sites that may receive access to data in the prescription monitoring program under RCW 70.225.040 must be:</w:t>
      </w:r>
    </w:p>
    <w:p>
      <w:pPr>
        <w:spacing w:before="0" w:after="0" w:line="408" w:lineRule="exact"/>
        <w:ind w:left="0" w:right="0" w:firstLine="576"/>
        <w:jc w:val="left"/>
      </w:pPr>
      <w:r>
        <w:rPr/>
        <w:t xml:space="preserve">(a) Licensed by the department as a test site under chapter 70.42 RCW; and</w:t>
      </w:r>
    </w:p>
    <w:p>
      <w:pPr>
        <w:spacing w:before="0" w:after="0" w:line="408" w:lineRule="exact"/>
        <w:ind w:left="0" w:right="0" w:firstLine="576"/>
        <w:jc w:val="left"/>
      </w:pPr>
      <w:r>
        <w:rPr/>
        <w:t xml:space="preserve">(b) Certified as a drug testing laboratory by the United States department of health and human services, substance abuse and mental health services administration.</w:t>
      </w:r>
    </w:p>
    <w:p>
      <w:pPr>
        <w:spacing w:before="0" w:after="0" w:line="408" w:lineRule="exact"/>
        <w:ind w:left="0" w:right="0" w:firstLine="576"/>
        <w:jc w:val="left"/>
      </w:pPr>
      <w:r>
        <w:rPr/>
        <w:t xml:space="preserve">(2) Test sites may not:</w:t>
      </w:r>
    </w:p>
    <w:p>
      <w:pPr>
        <w:spacing w:before="0" w:after="0" w:line="408" w:lineRule="exact"/>
        <w:ind w:left="0" w:right="0" w:firstLine="576"/>
        <w:jc w:val="left"/>
      </w:pPr>
      <w:r>
        <w:rPr/>
        <w:t xml:space="preserve">(a) Charge a fee for accessing the prescription monitoring program;</w:t>
      </w:r>
    </w:p>
    <w:p>
      <w:pPr>
        <w:spacing w:before="0" w:after="0" w:line="408" w:lineRule="exact"/>
        <w:ind w:left="0" w:right="0" w:firstLine="576"/>
        <w:jc w:val="left"/>
      </w:pPr>
      <w:r>
        <w:rPr/>
        <w:t xml:space="preserve">(b) Store data accessed from the prescription drug monitoring program in any form, including, but not limited to, hard copies, electronic copies, or web/digital based copies of any kind. Such data may be used only to transmit to those entities listed in RCW 70.255.040(3)(a).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Access to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(2) Such data cannot be gathered, shared, sold, or used in any manner other than as designated under RCW 70.255.040, section 2 of this act, or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df137a39c60f449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5271ce69004a86" /><Relationship Type="http://schemas.openxmlformats.org/officeDocument/2006/relationships/footer" Target="/word/footer.xml" Id="Rdf137a39c60f4494" /></Relationships>
</file>