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8215fe591c43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5100</w:t>
      </w:r>
    </w:p>
    <w:p>
      <w:pPr>
        <w:jc w:val="center"/>
        <w:spacing w:before="480" w:after="0" w:line="240"/>
      </w:pPr>
      <w:r>
        <w:t xml:space="preserve">Chapter </w:t>
      </w:r>
      <w:r>
        <w:rPr/>
        <w:t xml:space="preserve">189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RENTAL OR LEASED CARS--INFRACTIONS--REPORTING PROVISIONS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2:52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Hobbs and King</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processing certain motor vehicle-related violations applicable to rental cars; and amending RCW 46.20.270 and 46.63.073.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2013 2nd sp.s. c 35 s 17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ten days of failure to respond, failure to pay a penalty, failure to appear at a hearing to contest the determination that a violation of any statute, ordinance, or regulation relating to standing, stopping, parking, or civil penalties issued under RCW 46.63.160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have been committed and indicating the nature of the defendant's failure to act. Such violations or infractions may not have occurred while the vehicle is stolen from the registered owner ((</w:t>
      </w:r>
      <w:r>
        <w:rPr>
          <w:strike/>
        </w:rPr>
        <w:t xml:space="preserve">or is leased or rented under a bona fide commercial vehicle lease or rental agreement between a lessor engaged in the business of leasing vehicles and a lessee who is not the vehicle's registered owner</w:t>
      </w:r>
      <w:r>
        <w:rPr/>
        <w:t xml:space="preserve">)).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073</w:t>
      </w:r>
      <w:r>
        <w:rPr/>
        <w:t xml:space="preserve"> and 2007 c 372 s 1 are each amended to read as follows:</w:t>
      </w:r>
    </w:p>
    <w:p>
      <w:pPr>
        <w:spacing w:before="0" w:after="0" w:line="408" w:lineRule="exact"/>
        <w:ind w:left="0" w:right="0" w:firstLine="576"/>
        <w:jc w:val="left"/>
      </w:pPr>
      <w:r>
        <w:rPr/>
        <w:t xml:space="preserve">(1) In the event a traffic infraction is based on a vehicle's identification, and the registered owner of the vehicle is a rental car business, the law enforcement agency shall, before a notice of infraction may be issued, provide a written notice to the rental car business that a notice of infraction may be issued to the rental car business if the rental car business does not, within thirty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 In lieu of identifying the vehicle operator, the rental car business may pay the applicable penalty. </w:t>
      </w:r>
      <w:r>
        <w:rPr>
          <w:u w:val="single"/>
        </w:rPr>
        <w:t xml:space="preserve">If appropriate under the circumstances, a renter identified under (a) of this subsection is responsible for an infraction.</w:t>
      </w:r>
      <w:r>
        <w:rPr/>
        <w:t xml:space="preserve"> For the purpose of this subsection, a "traffic infraction based on a vehicle's identification" includes, but is not limited to, parking infractions, high occupancy toll lane violations, and violations recorded by automated traffic safety cameras.</w:t>
      </w:r>
    </w:p>
    <w:p>
      <w:pPr>
        <w:spacing w:before="0" w:after="0" w:line="408" w:lineRule="exact"/>
        <w:ind w:left="0" w:right="0" w:firstLine="576"/>
        <w:jc w:val="left"/>
      </w:pPr>
      <w:r>
        <w:rPr/>
        <w:t xml:space="preserve">(2) In the event a parking infraction is issued by a private parking facility and is based on a vehicle's identification, and the registered owner of the vehicle is a rental car business, the parking facility shall, before a notice of infraction may be issued, provide a written notice to the rental car business that a notice of infraction may be issued to the rental car business if the rental car business does not, within thirty days of receiving the written notice, provide to the parking facility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spacing w:before="0" w:after="0" w:line="408" w:lineRule="exact"/>
        <w:ind w:left="0" w:right="0" w:firstLine="576"/>
        <w:jc w:val="left"/>
      </w:pPr>
      <w:r>
        <w:rPr/>
        <w:t xml:space="preserve">Timely mailing of this statement to the parking facility relieves a rental car business of any liability under this chapter for the notice of infraction. In lieu of identifying the vehicle operator, the rental car business may pay the applicable penalty. For the purpose of this subsection, a "parking infraction based on a vehicle's identification" is limited to parking infractions occurring on a private parking facility's premises.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383ff355eb8b4c2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f67844c10843c4" /><Relationship Type="http://schemas.openxmlformats.org/officeDocument/2006/relationships/footer" Target="/word/footer.xml" Id="R383ff355eb8b4c2b" /></Relationships>
</file>