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35d67d56a4b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5139</w:t>
      </w:r>
    </w:p>
    <w:p>
      <w:pPr>
        <w:jc w:val="center"/>
        <w:spacing w:before="480" w:after="0" w:line="240"/>
      </w:pPr>
      <w:r>
        <w:t xml:space="preserve">Chapter </w:t>
      </w:r>
      <w:r>
        <w:rPr/>
        <w:t xml:space="preserve">226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STATE BUILDING CODE--LOCAL EXEMPTIONS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11,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2:15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Roach, Liias, Conway, Benton, McCoy, Dansel, and Ericksen</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code standards for certain buildings four or more stories high; and amending RCW 19.27.060.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2002 c 135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(3)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(4) </w:t>
      </w:r>
      <w:r>
        <w:t>((</w:t>
      </w:r>
      <w:r>
        <w:rPr>
          <w:strike/>
        </w:rPr>
        <w:t xml:space="preserve">The provisions of this chapter shall not apply to any building four or more stories high with a B occupancy as defined by the uniform building code, 1982 edition, and with a city fire insurance rating of 1, 2, or 3 as defined by a recognized fire rating bureau or organization.</w:t>
      </w:r>
    </w:p>
    <w:p>
      <w:pPr>
        <w:spacing w:before="0" w:after="0" w:line="408" w:lineRule="exact"/>
        <w:ind w:left="0" w:right="0" w:firstLine="576"/>
        <w:jc w:val="left"/>
      </w:pPr>
      <w:r>
        <w:rPr>
          <w:strike/>
        </w:rPr>
        <w:t xml:space="preserve">(5)</w:t>
      </w:r>
      <w:r>
        <w:t>))</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t>((</w:t>
      </w:r>
      <w:r>
        <w:rPr>
          <w:strike/>
        </w:rPr>
        <w:t xml:space="preserve">(6)</w:t>
      </w:r>
      <w:r>
        <w:t>))</w:t>
      </w:r>
      <w:r>
        <w:rPr>
          <w:u w:val="single"/>
        </w:rPr>
        <w:t xml:space="preserve">(5)</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t>((</w:t>
      </w:r>
      <w:r>
        <w:rPr>
          <w:strike/>
        </w:rPr>
        <w:t xml:space="preserve">(7)</w:t>
      </w:r>
      <w:r>
        <w:t>))</w:t>
      </w:r>
      <w:r>
        <w:rPr>
          <w:u w:val="single"/>
        </w:rPr>
        <w:t xml:space="preserve">(6)</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951735651c0447b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7c3d7c41e149e4" /><Relationship Type="http://schemas.openxmlformats.org/officeDocument/2006/relationships/footer" Target="/word/footer.xml" Id="R951735651c0447b3" /></Relationships>
</file>