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b1d1da67304ce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5596</w:t>
      </w:r>
    </w:p>
    <w:p>
      <w:pPr>
        <w:jc w:val="center"/>
        <w:spacing w:before="480" w:after="0" w:line="240"/>
      </w:pPr>
      <w:r>
        <w:t xml:space="preserve">Chapter </w:t>
      </w:r>
      <w:r>
        <w:rPr/>
        <w:t xml:space="preserve">195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WINE--TASTING AND SELLING--SPECIAL PERMIT</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40</w:t>
            </w:r>
            <w:r>
              <w:t xml:space="preserve">  Nays </w:t>
              <w:t xml:space="preserve">7</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2015</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5596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3:01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5596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Commerce &amp; Labor (originally sponsored by Senators King, Hewitt, Kohl-Welles, and McAuliffe)</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special permit by a manufacturer of wine to hold a private event for the purpose of tasting and selling wine of its own production;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shall be waived by the board</w:t>
      </w:r>
      <w:r>
        <w:rPr>
          <w:u w:val="single"/>
        </w:rPr>
        <w:t xml:space="preserve">;</w:t>
      </w:r>
    </w:p>
    <w:p>
      <w:pPr>
        <w:spacing w:before="0" w:after="0" w:line="408" w:lineRule="exact"/>
        <w:ind w:left="0" w:right="0" w:firstLine="576"/>
        <w:jc w:val="left"/>
      </w:pPr>
      <w:r>
        <w:rPr>
          <w:u w:val="single"/>
        </w:rPr>
        <w:t xml:space="preserve">(13)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w:t>
      </w:r>
      <w:r>
        <w:rPr/>
        <w:t xml:space="preserve">. </w:t>
      </w:r>
      <w:r>
        <w:rPr>
          <w:u w:val="single"/>
        </w:rPr>
        <w:t xml:space="preserve">No more than twelve events per year may be held by a single manufacturer under this subsection.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9,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192d6a0215bc46a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afb0b095b443a3" /><Relationship Type="http://schemas.openxmlformats.org/officeDocument/2006/relationships/footer" Target="/word/footer.xml" Id="R192d6a0215bc46a8" /></Relationships>
</file>