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2005724e34f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5649</w:t>
      </w:r>
    </w:p>
    <w:p>
      <w:pPr>
        <w:jc w:val="center"/>
        <w:spacing w:before="480" w:after="0" w:line="240"/>
      </w:pPr>
      <w:r>
        <w:t xml:space="preserve">Chapter </w:t>
      </w:r>
      <w:r>
        <w:rPr/>
        <w:t xml:space="preserve">269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INVOLUNTARY TREATMENT</w:t>
      </w:r>
    </w:p>
    <w:p>
      <w:pPr>
        <w:spacing w:before="720" w:after="240" w:line="240" w:lineRule="exact"/>
        <w:ind w:left="576" w:right="0" w:hanging="576"/>
        <w:jc w:val="center"/>
      </w:pPr>
      <w:r>
        <w:t xml:space="preserve">EFFECTIVE DATE: </w:t>
      </w:r>
      <w:r>
        <w:rPr/>
        <w:t xml:space="preserve">7/24/2015 - Except for sections 1 through 9 and 11 through 13, which become effective 5/14/15, and Sections 10 and 14, which become effective 4/1/2016.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90</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5649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12:01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Darneille, Miloscia, Fraser, Keiser, Parlette, Benton, McCoy, and Dammeier)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involuntary treatment act; amending RCW 71.05.010, 71.05.050, 71.05.210, 71.24.035, 71.24.300, 71.24.300, and 71.05.620; reenacting and amending RCW 71.05.153, 71.05.020, and 71.05.020; adding new sections to chapter 71.05 RCW; adding a new section to chapter 71.24 RCW; adding a new section to chapter 71.34 RCW;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spacing w:before="0" w:after="0" w:line="408" w:lineRule="exact"/>
        <w:ind w:left="0" w:right="0" w:firstLine="576"/>
        <w:jc w:val="left"/>
      </w:pPr>
      <w:r>
        <w:rPr>
          <w:u w:val="single"/>
        </w:rPr>
        <w:t xml:space="preserve">(1)</w:t>
      </w:r>
      <w:r>
        <w:rPr/>
        <w:t xml:space="preserve"> The provisions of this chapter are intended by the legislature:</w:t>
      </w:r>
    </w:p>
    <w:p>
      <w:pPr>
        <w:spacing w:before="0" w:after="0" w:line="408" w:lineRule="exact"/>
        <w:ind w:left="0" w:right="0" w:firstLine="576"/>
        <w:jc w:val="left"/>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spacing w:before="0" w:after="0" w:line="408" w:lineRule="exact"/>
        <w:ind w:left="0" w:right="0" w:firstLine="576"/>
        <w:jc w:val="left"/>
      </w:pPr>
      <w:r>
        <w:rPr>
          <w:u w:val="single"/>
        </w:rPr>
        <w:t xml:space="preserve">(b)</w:t>
      </w:r>
      <w:r>
        <w:rPr/>
        <w:t xml:space="preserve"> To prevent inappropriate, indefinite commitment of mentally disordered persons and to eliminate legal disabilities that arise from such commitment;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To safeguard individual rights;</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To provide continuity of care for persons with serious mental disorders;</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spacing w:before="0" w:after="0" w:line="408" w:lineRule="exact"/>
        <w:ind w:left="0" w:right="0" w:firstLine="576"/>
        <w:jc w:val="left"/>
      </w:pPr>
      <w:r>
        <w:rPr>
          <w:strike/>
        </w:rPr>
        <w:t xml:space="preserve">(7) To protect the public safety</w:t>
      </w:r>
      <w:r>
        <w:t>))</w:t>
      </w:r>
      <w:r>
        <w:rPr/>
        <w:t xml:space="preserve">.</w:t>
      </w:r>
    </w:p>
    <w:p>
      <w:pPr>
        <w:spacing w:before="0" w:after="0" w:line="408" w:lineRule="exact"/>
        <w:ind w:left="0" w:right="0" w:firstLine="576"/>
        <w:jc w:val="left"/>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 promptly share reports it receives under section 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spacing w:before="0" w:after="0" w:line="408" w:lineRule="exact"/>
        <w:ind w:left="0" w:right="0" w:firstLine="576"/>
        <w:jc w:val="left"/>
      </w:pPr>
      <w:r>
        <w:rPr/>
        <w:t xml:space="preserve">(2) The department shall track and analyze reports submitted under section 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spacing w:before="0" w:after="0" w:line="408" w:lineRule="exact"/>
        <w:ind w:left="0" w:right="0" w:firstLine="576"/>
        <w:jc w:val="left"/>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spacing w:before="0" w:after="0" w:line="408" w:lineRule="exact"/>
        <w:ind w:left="0" w:right="0" w:firstLine="576"/>
        <w:jc w:val="left"/>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mental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spacing w:before="0" w:after="0" w:line="408" w:lineRule="exact"/>
        <w:ind w:left="0" w:right="0" w:firstLine="576"/>
        <w:jc w:val="left"/>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mental health authority.</w:t>
      </w:r>
    </w:p>
    <w:p>
      <w:pPr>
        <w:spacing w:before="0" w:after="0" w:line="408" w:lineRule="exact"/>
        <w:ind w:left="0" w:right="0" w:firstLine="576"/>
        <w:jc w:val="left"/>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mental health program that incorporates regional biennial needs assessments and regional mental health service plans and state services for adults and children with mental illness;</w:t>
      </w:r>
    </w:p>
    <w:p>
      <w:pPr>
        <w:spacing w:before="0" w:after="0" w:line="408" w:lineRule="exact"/>
        <w:ind w:left="0" w:right="0" w:firstLine="576"/>
        <w:jc w:val="left"/>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mental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(h) License service providers who meet state minimum standards;</w:t>
      </w:r>
    </w:p>
    <w:p>
      <w:pPr>
        <w:spacing w:before="0" w:after="0" w:line="408" w:lineRule="exact"/>
        <w:ind w:left="0" w:right="0" w:firstLine="576"/>
        <w:jc w:val="left"/>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rPr/>
        <w:t xml:space="preserve">(j) Fix fees to be paid by evaluation and treatment centers to the secretary for the required inspections;</w:t>
      </w:r>
    </w:p>
    <w:p>
      <w:pPr>
        <w:spacing w:before="0" w:after="0" w:line="408" w:lineRule="exact"/>
        <w:ind w:left="0" w:right="0" w:firstLine="576"/>
        <w:jc w:val="left"/>
      </w:pPr>
      <w:r>
        <w:rPr/>
        <w:t xml:space="preserve">(k)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rPr/>
        <w:t xml:space="preserve">(l) Adopt such rules as are necessary to implement the department's responsibilities under this chapter;</w:t>
      </w:r>
    </w:p>
    <w:p>
      <w:pPr>
        <w:spacing w:before="0" w:after="0" w:line="408" w:lineRule="exact"/>
        <w:ind w:left="0" w:right="0" w:firstLine="576"/>
        <w:jc w:val="left"/>
      </w:pPr>
      <w:r>
        <w:rPr/>
        <w:t xml:space="preserve">(m) License or certify crisis stabilization units that meet state minimum standards;</w:t>
      </w:r>
    </w:p>
    <w:p>
      <w:pPr>
        <w:spacing w:before="0" w:after="0" w:line="408" w:lineRule="exact"/>
        <w:ind w:left="0" w:right="0" w:firstLine="576"/>
        <w:jc w:val="left"/>
      </w:pPr>
      <w:r>
        <w:rPr/>
        <w:t xml:space="preserve">(n) License or certify clubhouses that meet state minimum standards; and</w:t>
      </w:r>
    </w:p>
    <w:p>
      <w:pPr>
        <w:spacing w:before="0" w:after="0" w:line="408" w:lineRule="exact"/>
        <w:ind w:left="0" w:right="0" w:firstLine="576"/>
        <w:jc w:val="left"/>
      </w:pPr>
      <w:r>
        <w:rPr/>
        <w:t xml:space="preserve">(o) License or certify triage facilities that meet state minimum standards.</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t xml:space="preserve">(13) The standards for certification or licensure of crisis stabilization units shall include standards that:</w:t>
      </w:r>
    </w:p>
    <w:p>
      <w:pPr>
        <w:spacing w:before="0" w:after="0" w:line="408" w:lineRule="exact"/>
        <w:ind w:left="0" w:right="0" w:firstLine="576"/>
        <w:jc w:val="left"/>
      </w:pPr>
      <w:r>
        <w:rPr/>
        <w:t xml:space="preserve">(a) Permit location of the units at a jail facility if the unit is physically separate from the general population of the jail;</w:t>
      </w:r>
    </w:p>
    <w:p>
      <w:pPr>
        <w:spacing w:before="0" w:after="0" w:line="408" w:lineRule="exact"/>
        <w:ind w:left="0" w:right="0" w:firstLine="576"/>
        <w:jc w:val="left"/>
      </w:pPr>
      <w:r>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t xml:space="preserve">(14) The standards for certification or licensure of a clubhouse shall at a minimum include:</w:t>
      </w:r>
    </w:p>
    <w:p>
      <w:pPr>
        <w:spacing w:before="0" w:after="0" w:line="408" w:lineRule="exact"/>
        <w:ind w:left="0" w:right="0" w:firstLine="576"/>
        <w:jc w:val="left"/>
      </w:pPr>
      <w:r>
        <w:rPr/>
        <w:t xml:space="preserve">(a)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(b) Members and employees must work together;</w:t>
      </w:r>
    </w:p>
    <w:p>
      <w:pPr>
        <w:spacing w:before="0" w:after="0" w:line="408" w:lineRule="exact"/>
        <w:ind w:left="0" w:right="0" w:firstLine="576"/>
        <w:jc w:val="left"/>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(g) Clubhouse programs must focus on strengths, talents, and abilities of its members;</w:t>
      </w:r>
    </w:p>
    <w:p>
      <w:pPr>
        <w:spacing w:before="0" w:after="0" w:line="408" w:lineRule="exact"/>
        <w:ind w:left="0" w:right="0" w:firstLine="576"/>
        <w:jc w:val="left"/>
      </w:pPr>
      <w:r>
        <w:rPr/>
        <w:t xml:space="preserve">(h) The work</w:t>
      </w:r>
      <w:r>
        <w:rPr/>
        <w:noBreakHyphen/>
      </w:r>
      <w:r>
        <w:rPr/>
        <w:t xml:space="preserve">ordered day may not include medication clinics, day treatment, or other therapy programs within the clubhouse.</w:t>
      </w:r>
    </w:p>
    <w:p>
      <w:pPr>
        <w:spacing w:before="0" w:after="0" w:line="408" w:lineRule="exact"/>
        <w:ind w:left="0" w:right="0" w:firstLine="576"/>
        <w:jc w:val="left"/>
      </w:pPr>
      <w:r>
        <w:rPr/>
        <w:t xml:space="preserve">(15)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t xml:space="preserve">(17)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spacing w:before="0" w:after="0" w:line="408" w:lineRule="exact"/>
        <w:ind w:left="0" w:right="0" w:firstLine="576"/>
        <w:jc w:val="left"/>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spacing w:before="0" w:after="0" w:line="408" w:lineRule="exact"/>
        <w:ind w:left="0" w:right="0" w:firstLine="576"/>
        <w:jc w:val="left"/>
      </w:pPr>
      <w:r>
        <w:rPr/>
        <w:t xml:space="preserve">(4) If a regional support network is a private entity, the department shall allow for the inclusion of the tribal authority to be represented as a party to the regional support network.</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spacing w:before="0" w:after="0" w:line="408" w:lineRule="exact"/>
        <w:ind w:left="0" w:right="0" w:firstLine="576"/>
        <w:jc w:val="left"/>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spacing w:before="0" w:after="0" w:line="408" w:lineRule="exact"/>
        <w:ind w:left="0" w:right="0" w:firstLine="576"/>
        <w:jc w:val="left"/>
      </w:pPr>
      <w:r>
        <w:rPr/>
        <w:t xml:space="preserve">(9) Regional support networks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complete a study by December 1, 2015, regarding the implementation of certain aspects of the involuntary treatment act under chapter 71.05 RCW. The study must include, but not be limited to:</w:t>
      </w:r>
    </w:p>
    <w:p>
      <w:pPr>
        <w:spacing w:before="0" w:after="0" w:line="408" w:lineRule="exact"/>
        <w:ind w:left="0" w:right="0" w:firstLine="576"/>
        <w:jc w:val="left"/>
      </w:pPr>
      <w:r>
        <w:rPr/>
        <w:t xml:space="preserve">(a) An assessment of the nonemergent detention process provided under RCW 71.05.150, which examines:</w:t>
      </w:r>
    </w:p>
    <w:p>
      <w:pPr>
        <w:spacing w:before="0" w:after="0" w:line="408" w:lineRule="exact"/>
        <w:ind w:left="0" w:right="0" w:firstLine="576"/>
        <w:jc w:val="left"/>
      </w:pPr>
      <w:r>
        <w:rPr/>
        <w:t xml:space="preserve">(i) The number of nonemergent petitions filed in each county by year;</w:t>
      </w:r>
    </w:p>
    <w:p>
      <w:pPr>
        <w:spacing w:before="0" w:after="0" w:line="408" w:lineRule="exact"/>
        <w:ind w:left="0" w:right="0" w:firstLine="576"/>
        <w:jc w:val="left"/>
      </w:pPr>
      <w:r>
        <w:rPr/>
        <w:t xml:space="preserve">(ii) The reasons for variation in the use of nonemergent detentions based on feedback from judicial officers, prosecutors, public defenders, and mental health professionals; and</w:t>
      </w:r>
    </w:p>
    <w:p>
      <w:pPr>
        <w:spacing w:before="0" w:after="0" w:line="408" w:lineRule="exact"/>
        <w:ind w:left="0" w:right="0" w:firstLine="576"/>
        <w:jc w:val="left"/>
      </w:pPr>
      <w:r>
        <w:rPr/>
        <w:t xml:space="preserve">(iii) Models in other states for handling civil commitments when imminent danger is not present.</w:t>
      </w:r>
    </w:p>
    <w:p>
      <w:pPr>
        <w:spacing w:before="0" w:after="0" w:line="408" w:lineRule="exact"/>
        <w:ind w:left="0" w:right="0" w:firstLine="576"/>
        <w:jc w:val="left"/>
      </w:pPr>
      <w:r>
        <w:rPr/>
        <w:t xml:space="preserve">(b) An analysis of less restrictive alternative orders under the involuntary treatment act including:</w:t>
      </w:r>
    </w:p>
    <w:p>
      <w:pPr>
        <w:spacing w:before="0" w:after="0" w:line="408" w:lineRule="exact"/>
        <w:ind w:left="0" w:right="0" w:firstLine="576"/>
        <w:jc w:val="left"/>
      </w:pPr>
      <w:r>
        <w:rPr/>
        <w:t xml:space="preserve">(i) Differences across counties with respect to: (A) The use of less restrictive alternatives and reasons why least restrictive alternatives may or may not be utilized in different jurisdictions; (B) monitoring practices; and (C) rates of, grounds for, and outcomes of petitions for revocation or modification;</w:t>
      </w:r>
    </w:p>
    <w:p>
      <w:pPr>
        <w:spacing w:before="0" w:after="0" w:line="408" w:lineRule="exact"/>
        <w:ind w:left="0" w:right="0" w:firstLine="576"/>
        <w:jc w:val="left"/>
      </w:pPr>
      <w:r>
        <w:rPr/>
        <w:t xml:space="preserve">(ii) A systematic review of the research literature on the effectiveness of alternatives to involuntary hospitalizations in reducing violence and rehospitalizations; and</w:t>
      </w:r>
    </w:p>
    <w:p>
      <w:pPr>
        <w:spacing w:before="0" w:after="0" w:line="408" w:lineRule="exact"/>
        <w:ind w:left="0" w:right="0" w:firstLine="576"/>
        <w:jc w:val="left"/>
      </w:pPr>
      <w:r>
        <w:rPr/>
        <w:t xml:space="preserve">(iii) Approaches used in other states to monitor and enforce least restrictive orders, including associated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r>
        <w:rPr>
          <w:u w:val="single"/>
        </w:rPr>
        <w:t xml:space="preserve">:</w:t>
      </w:r>
    </w:p>
    <w:p>
      <w:pPr>
        <w:spacing w:before="0" w:after="0" w:line="408" w:lineRule="exact"/>
        <w:ind w:left="0" w:right="0" w:firstLine="576"/>
        <w:jc w:val="left"/>
      </w:pPr>
      <w:r>
        <w:rPr>
          <w:u w:val="single"/>
        </w:rPr>
        <w:t xml:space="preserve">(a) The department;</w:t>
      </w:r>
    </w:p>
    <w:p>
      <w:pPr>
        <w:spacing w:before="0" w:after="0" w:line="408" w:lineRule="exact"/>
        <w:ind w:left="0" w:right="0" w:firstLine="576"/>
        <w:jc w:val="left"/>
      </w:pPr>
      <w:r>
        <w:rPr>
          <w:u w:val="single"/>
        </w:rPr>
        <w:t xml:space="preserve">(b) The state hospitals as defined in RCW 72.23.010;</w:t>
      </w:r>
    </w:p>
    <w:p>
      <w:pPr>
        <w:spacing w:before="0" w:after="0" w:line="408" w:lineRule="exact"/>
        <w:ind w:left="0" w:right="0" w:firstLine="576"/>
        <w:jc w:val="left"/>
      </w:pPr>
      <w:r>
        <w:rPr>
          <w:u w:val="single"/>
        </w:rPr>
        <w:t xml:space="preserve">(c) A</w:t>
      </w:r>
      <w:r>
        <w:rPr/>
        <w:t xml:space="preserve">ny person who is the subject of a petition </w:t>
      </w:r>
      <w:r>
        <w:t>((</w:t>
      </w:r>
      <w:r>
        <w:rPr>
          <w:strike/>
        </w:rPr>
        <w:t xml:space="preserve">and to</w:t>
      </w:r>
      <w:r>
        <w:t>))</w:t>
      </w:r>
      <w:r>
        <w:rPr>
          <w:u w:val="single"/>
        </w:rPr>
        <w:t xml:space="preserve">;</w:t>
      </w:r>
    </w:p>
    <w:p>
      <w:pPr>
        <w:spacing w:before="0" w:after="0" w:line="408" w:lineRule="exact"/>
        <w:ind w:left="0" w:right="0" w:firstLine="576"/>
        <w:jc w:val="left"/>
      </w:pPr>
      <w:r>
        <w:rPr>
          <w:u w:val="single"/>
        </w:rPr>
        <w:t xml:space="preserve">(d) T</w:t>
      </w:r>
      <w:r>
        <w:rPr/>
        <w:t xml:space="preserve">he person's attorney</w:t>
      </w:r>
      <w:r>
        <w:t>((</w:t>
      </w:r>
      <w:r>
        <w:rPr>
          <w:strike/>
        </w:rPr>
        <w:t xml:space="preserve">,</w:t>
      </w:r>
      <w:r>
        <w:t>))</w:t>
      </w:r>
      <w:r>
        <w:rPr/>
        <w:t xml:space="preserve"> </w:t>
      </w:r>
      <w:r>
        <w:rPr>
          <w:u w:val="single"/>
        </w:rPr>
        <w:t xml:space="preserve">or</w:t>
      </w:r>
      <w:r>
        <w:rPr/>
        <w:t xml:space="preserve"> guardian </w:t>
      </w:r>
      <w:r>
        <w:t>((</w:t>
      </w:r>
      <w:r>
        <w:rPr>
          <w:strike/>
        </w:rPr>
        <w:t xml:space="preserve">ad litem,</w:t>
      </w:r>
      <w:r>
        <w:t>))</w:t>
      </w:r>
      <w:r>
        <w:rPr>
          <w:u w:val="single"/>
        </w:rPr>
        <w:t xml:space="preserve">;</w:t>
      </w:r>
    </w:p>
    <w:p>
      <w:pPr>
        <w:spacing w:before="0" w:after="0" w:line="408" w:lineRule="exact"/>
        <w:ind w:left="0" w:right="0" w:firstLine="576"/>
        <w:jc w:val="left"/>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spacing w:before="0" w:after="0" w:line="408" w:lineRule="exact"/>
        <w:ind w:left="0" w:right="0" w:firstLine="576"/>
        <w:jc w:val="left"/>
      </w:pPr>
      <w:r>
        <w:rPr>
          <w:u w:val="single"/>
        </w:rPr>
        <w:t xml:space="preserve">(f) S</w:t>
      </w:r>
      <w:r>
        <w:rPr/>
        <w:t xml:space="preserve">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15 of this act, referencing section 15 of this act by bill or chapter number and section number, is not provided by June 30, 2015, in the omnibus appropriations act, section 15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 and 13 of this act expire April 1, 2016.</w:t>
      </w:r>
    </w:p>
    <w:p>
      <w:pPr>
        <w:spacing w:before="0" w:after="0" w:line="408" w:lineRule="exact"/>
        <w:ind w:left="0" w:right="0" w:firstLine="576"/>
        <w:jc w:val="left"/>
      </w:pPr>
      <w:r>
        <w:rPr/>
        <w:t xml:space="preserve">(2) Section 15 of this act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14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61d72016ed3242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a58e4593644d0" /><Relationship Type="http://schemas.openxmlformats.org/officeDocument/2006/relationships/footer" Target="/word/footer.xml" Id="R61d72016ed324237" /></Relationships>
</file>