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59c80512443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5681</w:t>
      </w:r>
    </w:p>
    <w:p>
      <w:pPr>
        <w:jc w:val="center"/>
        <w:spacing w:before="480" w:after="0" w:line="240"/>
      </w:pPr>
      <w:r>
        <w:t xml:space="preserve">Chapter </w:t>
      </w:r>
      <w:r>
        <w:rPr/>
        <w:t xml:space="preserve">31</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STATE LOTTERY ACCOUNTS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4:14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5681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Hill and Angel; by request of Office of Financial Management)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lottery accounts; and amending RCW 67.70.190, 67.70.240, and 67.70.260.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r>
        <w:rPr>
          <w:u w:val="single"/>
        </w:rPr>
        <w:t xml:space="preserve">. On June 30th of each fiscal year, any balance of unclaimed prizes in excess of ten million dollars must be transferred to the Washington opportunity pathways account created in RCW 28B.76.526</w:t>
      </w:r>
      <w:r>
        <w:rPr/>
        <w:t xml:space="preserve">.</w:t>
      </w:r>
    </w:p>
    <w:p>
      <w:pPr>
        <w:spacing w:before="0" w:after="0" w:line="408" w:lineRule="exact"/>
        <w:ind w:left="0" w:right="0" w:firstLine="576"/>
        <w:jc w:val="left"/>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r>
        <w:t>))</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2013 c 136 s 1 are each amended to read as follows:</w:t>
      </w:r>
    </w:p>
    <w:p>
      <w:pPr>
        <w:spacing w:before="0" w:after="0" w:line="408" w:lineRule="exact"/>
        <w:ind w:left="0" w:right="0" w:firstLine="576"/>
        <w:jc w:val="left"/>
      </w:pPr>
      <w:r>
        <w:rPr/>
        <w:t xml:space="preserve">(1)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For purposes of making deposits into the Washington opportunity pathways account created in RCW 28B.76.526. Moneys in the state lottery account deposited in the Washington opportunity pathways account are included in "general state revenues" under RCW 39.42.070;</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 </w:t>
      </w:r>
      <w:r>
        <w:t>((</w:t>
      </w:r>
      <w:r>
        <w:rPr>
          <w:strike/>
        </w:rPr>
        <w:t xml:space="preserve">and</w:t>
      </w:r>
      <w:r>
        <w:t>))</w:t>
      </w:r>
    </w:p>
    <w:p>
      <w:pPr>
        <w:spacing w:before="0" w:after="0" w:line="408" w:lineRule="exact"/>
        <w:ind w:left="0" w:right="0" w:firstLine="576"/>
        <w:jc w:val="left"/>
      </w:pPr>
      <w:r>
        <w:rPr/>
        <w:t xml:space="preserve">(f) For the payment of agent compensation</w:t>
      </w:r>
      <w:r>
        <w:rPr>
          <w:u w:val="single"/>
        </w:rPr>
        <w:t xml:space="preserve">; and</w:t>
      </w:r>
    </w:p>
    <w:p>
      <w:pPr>
        <w:spacing w:before="0" w:after="0" w:line="408" w:lineRule="exact"/>
        <w:ind w:left="0" w:right="0" w:firstLine="576"/>
        <w:jc w:val="left"/>
      </w:pPr>
      <w:r>
        <w:rPr>
          <w:u w:val="single"/>
        </w:rPr>
        <w:t xml:space="preserve">(g) For distribution to the gambling revolving fund, created in RCW 9.46.100, in amounts specified in the omnibus appropriations act. To meet the cash flow needs of both agencies, the director of the state lottery and the director of the Washington state gambling commission may determine the timing of the distribution, which may include incremental distributions over the course of the fiscal year</w:t>
      </w:r>
      <w:r>
        <w:rPr/>
        <w:t xml:space="preserve">.</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spacing w:before="0" w:after="0" w:line="408" w:lineRule="exact"/>
        <w:ind w:left="0" w:right="0" w:firstLine="576"/>
        <w:jc w:val="left"/>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w:t>
      </w:r>
      <w:r>
        <w:t>((</w:t>
      </w:r>
      <w:r>
        <w:rPr>
          <w:strike/>
        </w:rPr>
        <w:t xml:space="preserve">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fiscal biennium, the lottery administrative account may also be used to fund an independent forecast of the lottery revenues conducted by the economic and revenue forecast council.</w:t>
      </w:r>
      <w:r>
        <w:t>))</w:t>
      </w:r>
      <w:r>
        <w:rPr/>
        <w:t xml:space="preserve"> </w:t>
      </w:r>
      <w:r>
        <w:rPr>
          <w:u w:val="single"/>
        </w:rPr>
        <w:t xml:space="preserve">The lottery administrative account may also be used to fund an independent forecast of the lottery revenues conducted by the economic and revenue forecast council.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dca0a59543784dc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765065d524db0" /><Relationship Type="http://schemas.openxmlformats.org/officeDocument/2006/relationships/footer" Target="/word/footer.xml" Id="Rdca0a59543784dc6" /></Relationships>
</file>