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7707b235c046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5851</w:t>
      </w:r>
    </w:p>
    <w:p>
      <w:pPr>
        <w:jc w:val="center"/>
        <w:spacing w:before="480" w:after="0" w:line="240"/>
      </w:pPr>
      <w:r>
        <w:t xml:space="preserve">Chapter </w:t>
      </w:r>
      <w:r>
        <w:rPr/>
        <w:t xml:space="preserve">244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HIGHER EDUCATION--COLLEGE BOUND SCHOLARSHIP PROGRAM WORK GROUP</w:t>
      </w:r>
    </w:p>
    <w:p>
      <w:pPr>
        <w:spacing w:before="720" w:after="240" w:line="240" w:lineRule="exact"/>
        <w:ind w:left="576" w:right="0" w:hanging="576"/>
        <w:jc w:val="center"/>
      </w:pPr>
      <w:r>
        <w:t xml:space="preserve">EFFECTIVE DATE: </w:t>
      </w:r>
      <w:r>
        <w:rPr/>
        <w:t xml:space="preserve">7/24/2015 - Except section 6, which becomes effective 5/12/2015.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5851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12, 2015 11:36 AM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Frockt, Kohl-Welles, Miloscia, Liias, Mullet, Pedersen, Nelson, and McAuliffe)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of the college bound scholarship program work group; amending RCW 28B.77.100 and 28B.118.040; reenacting and amending RCW 28B.118.010; adding new sections to chapter 28B.118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college bound scholarship program has demonstrated that an early promise of financial aid results in increased high school graduation rates for low-income students. The promise of state financial aid to students from low-income families who work to graduate with sufficient grades and no felony convictions provides them with a path toward greater educational attainment and upward mobility. The scholarship program has the potential to move Washington toward its long-term goal of a better trained and educated workforce. Among the first two cohorts, college bound enrollees were fifteen percent and nineteen percent more likely to graduate from high school in 2012 and 2013 compared to low-income peers who were not part of the program.</w:t>
      </w:r>
    </w:p>
    <w:p>
      <w:pPr>
        <w:spacing w:before="0" w:after="0" w:line="408" w:lineRule="exact"/>
        <w:ind w:left="0" w:right="0" w:firstLine="576"/>
        <w:jc w:val="left"/>
      </w:pPr>
      <w:r>
        <w:rPr/>
        <w:t xml:space="preserve">The legislature also finds that a comprehensive review of the college bound scholarship program in 2014 resulted in unanimous recommendations to improve and enhance certain components of the program, including data collection, outreach, and program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100</w:t>
      </w:r>
      <w:r>
        <w:rPr/>
        <w:t xml:space="preserve"> and 2012 c 229 s 302 are each amended to read as follows:</w:t>
      </w:r>
    </w:p>
    <w:p>
      <w:pPr>
        <w:spacing w:before="0" w:after="0" w:line="408" w:lineRule="exact"/>
        <w:ind w:left="0" w:right="0" w:firstLine="576"/>
        <w:jc w:val="left"/>
      </w:pPr>
      <w:r>
        <w:rPr/>
        <w:t xml:space="preserve">(1)(a) In consultation with the education data center, institutions of higher education, and state education agencies, the council shall identify the data needed to carry out its responsibilities for policy analysis and public information. The primary goals of the council's data collection and research are to describe how students and other beneficiaries of higher education are being served; to compare and contrast the state of Washington's higher education system with the rest of the nation; and to assist state policymakers and institutions in making policy decisions.</w:t>
      </w:r>
    </w:p>
    <w:p>
      <w:pPr>
        <w:spacing w:before="0" w:after="0" w:line="408" w:lineRule="exact"/>
        <w:ind w:left="0" w:right="0" w:firstLine="576"/>
        <w:jc w:val="left"/>
      </w:pPr>
      <w:r>
        <w:rPr/>
        <w:t xml:space="preserve">(b) For the council, assistance to state policymakers and institutions of higher education in making policy decisions includes but is not limited to annual reporting of a national comparison of tuition and fees.</w:t>
      </w:r>
    </w:p>
    <w:p>
      <w:pPr>
        <w:spacing w:before="0" w:after="0" w:line="408" w:lineRule="exact"/>
        <w:ind w:left="0" w:right="0" w:firstLine="576"/>
        <w:jc w:val="left"/>
      </w:pPr>
      <w:r>
        <w:rPr/>
        <w:t xml:space="preserve">(2) One of the goals of the education data center's data collection and research for higher education is to support higher education accountability. For the education data center, assistance to state policymakers and institutions of higher education in making policy decisions includes but is not limited to regular completion of:</w:t>
      </w:r>
    </w:p>
    <w:p>
      <w:pPr>
        <w:spacing w:before="0" w:after="0" w:line="408" w:lineRule="exact"/>
        <w:ind w:left="0" w:right="0" w:firstLine="576"/>
        <w:jc w:val="left"/>
      </w:pPr>
      <w:r>
        <w:rPr/>
        <w:t xml:space="preserve">(a) Educational cost study reports as provided in RCW 43.41.415 and information on state support received by students as provided in RCW 43.41.410; and</w:t>
      </w:r>
    </w:p>
    <w:p>
      <w:pPr>
        <w:spacing w:before="0" w:after="0" w:line="408" w:lineRule="exact"/>
        <w:ind w:left="0" w:right="0" w:firstLine="576"/>
        <w:jc w:val="left"/>
      </w:pPr>
      <w:r>
        <w:rPr/>
        <w:t xml:space="preserve">(b) Per-student funding at similar public institutions of higher education in the global challenge states.</w:t>
      </w:r>
    </w:p>
    <w:p>
      <w:pPr>
        <w:spacing w:before="0" w:after="0" w:line="408" w:lineRule="exact"/>
        <w:ind w:left="0" w:right="0" w:firstLine="576"/>
        <w:jc w:val="left"/>
      </w:pPr>
      <w:r>
        <w:rPr>
          <w:u w:val="single"/>
        </w:rPr>
        <w:t xml:space="preserve">(3) The education data center shall be considered an authorized representative of the council and the office under applicable federal and state statutes for purposes of accessing and compiling student record data for research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2012 c 229 s 402 and 2012 c 163 s 8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w:t>
      </w:r>
      <w:r>
        <w:rPr>
          <w:u w:val="single"/>
        </w:rPr>
        <w:t xml:space="preserve">(i)</w:t>
      </w:r>
      <w:r>
        <w:rPr/>
        <w:t xml:space="preserve">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u w:val="single"/>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2011 1st sp.s. c 11 s 228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w:t>
      </w:r>
      <w:r>
        <w:rPr>
          <w:u w:val="single"/>
        </w:rPr>
        <w:t xml:space="preserve">, which includes working with other state agencies, law enforcement, or the court system to verify that eligible students do not have felony convictions</w:t>
      </w:r>
      <w:r>
        <w:rPr/>
        <w:t xml:space="preserve">;</w:t>
      </w:r>
    </w:p>
    <w:p>
      <w:pPr>
        <w:spacing w:before="0" w:after="0" w:line="408" w:lineRule="exact"/>
        <w:ind w:left="0" w:right="0" w:firstLine="576"/>
        <w:jc w:val="left"/>
      </w:pPr>
      <w:r>
        <w:rPr/>
        <w:t xml:space="preserve">(4) </w:t>
      </w:r>
      <w:r>
        <w:rPr>
          <w:u w:val="single"/>
        </w:rPr>
        <w:t xml:space="preserve">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u w:val="single"/>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u w:val="single"/>
        </w:rPr>
        <w:t xml:space="preserve">(6)</w:t>
      </w:r>
      <w:r>
        <w:rPr/>
        <w:t xml:space="preserve"> Track scholarship recipients to ensure continued eligibility and determine student compliance for awarding of scholarships;</w:t>
      </w:r>
    </w:p>
    <w:p>
      <w:pPr>
        <w:spacing w:before="0" w:after="0" w:line="408" w:lineRule="exact"/>
        <w:ind w:left="0" w:right="0" w:firstLine="576"/>
        <w:jc w:val="left"/>
      </w:pPr>
      <w:r>
        <w:t>((</w:t>
      </w:r>
      <w:r>
        <w:rPr>
          <w:strike/>
        </w:rPr>
        <w:t xml:space="preserve">(5)</w:t>
      </w:r>
      <w:r>
        <w:t>))</w:t>
      </w:r>
      <w:r>
        <w:rPr/>
        <w:t xml:space="preserve"> </w:t>
      </w:r>
      <w:r>
        <w:rPr>
          <w:u w:val="single"/>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u w:val="single"/>
        </w:rPr>
        <w:t xml:space="preserve">(8)</w:t>
      </w:r>
      <w:r>
        <w:rPr/>
        <w:t xml:space="preserve"> Subject to appropriation, deposit funds into the state educational trust fund;</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Purchase tuition units under the advanced college tuition payment program in chapter 28B.95 RCW to be owned and held in trust by the board, for the purpose of scholarship awards as provided for in this section; and</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Each institution of higher education is encouraged to tailor advising resources for any enrolled student who is the recipient of a college bound scholarship. The institutions of higher education should identify campus officials, resources, programs, and other college bound scholarship students available to work with college bound scholarship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the effective date of this section,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complete an evaluation of the college bound scholarship program and submit a report to the appropriate committees of the legislature by December 1, 2018. The report shall complement studies on the college bound scholarship program conducted at the University of Washington or elsewhere. To the extent it is not duplicative of other studies, the report shall evaluate educational outcomes emphasizing degree completion rates at both secondary and postsecondary levels. The report shall study certain aspects of the college bound scholarship program, including but not limited to:</w:t>
      </w:r>
    </w:p>
    <w:p>
      <w:pPr>
        <w:spacing w:before="0" w:after="0" w:line="408" w:lineRule="exact"/>
        <w:ind w:left="0" w:right="0" w:firstLine="576"/>
        <w:jc w:val="left"/>
      </w:pPr>
      <w:r>
        <w:rPr/>
        <w:t xml:space="preserve">(a) College bound scholarship recipient grade point average and its relationship to positive outcomes;</w:t>
      </w:r>
    </w:p>
    <w:p>
      <w:pPr>
        <w:spacing w:before="0" w:after="0" w:line="408" w:lineRule="exact"/>
        <w:ind w:left="0" w:right="0" w:firstLine="576"/>
        <w:jc w:val="left"/>
      </w:pPr>
      <w:r>
        <w:rPr/>
        <w:t xml:space="preserve">(b) Variance in remediation needed between college bound scholarship recipient and their peers;</w:t>
      </w:r>
    </w:p>
    <w:p>
      <w:pPr>
        <w:spacing w:before="0" w:after="0" w:line="408" w:lineRule="exact"/>
        <w:ind w:left="0" w:right="0" w:firstLine="576"/>
        <w:jc w:val="left"/>
      </w:pPr>
      <w:r>
        <w:rPr/>
        <w:t xml:space="preserve">(c) Differentials in persistence between college bound scholarship recipients and their peers; and</w:t>
      </w:r>
    </w:p>
    <w:p>
      <w:pPr>
        <w:spacing w:before="0" w:after="0" w:line="408" w:lineRule="exact"/>
        <w:ind w:left="0" w:right="0" w:firstLine="576"/>
        <w:jc w:val="left"/>
      </w:pPr>
      <w:r>
        <w:rPr/>
        <w:t xml:space="preserve">(d) The impact of ineligibility for the college bound scholarship program, for reasons such as moving into the state after middle school or change in family income.</w:t>
      </w:r>
    </w:p>
    <w:p>
      <w:pPr>
        <w:spacing w:before="0" w:after="0" w:line="408" w:lineRule="exact"/>
        <w:ind w:left="0" w:right="0" w:firstLine="576"/>
        <w:jc w:val="left"/>
      </w:pPr>
      <w:r>
        <w:rPr/>
        <w:t xml:space="preserve">(2)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12,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cda14450ace3470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3d9afb82e4e99" /><Relationship Type="http://schemas.openxmlformats.org/officeDocument/2006/relationships/footer" Target="/word/footer.xml" Id="Rcda14450ace3470e" /></Relationships>
</file>