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c8a65160d4f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6203</w:t>
      </w:r>
    </w:p>
    <w:p>
      <w:pPr>
        <w:jc w:val="center"/>
        <w:spacing w:before="480" w:after="0" w:line="240"/>
      </w:pPr>
      <w:r>
        <w:t xml:space="preserve">Chapter </w:t>
      </w:r>
      <w:r>
        <w:rPr/>
        <w:t xml:space="preserve">148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PRACTICE OF PHARMACY--LONG-TERM CARE SETTINGS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4:52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Parlette, Becker, Keiser,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relating to the practice of pharmacy including the practice of pharmacy in long-term care settings; amending RCW 18.64.011, 69.50.308, 74.42.230, 69.41.032, 69.41.042, 69.41.044, 69.41.055, 69.41.220, 18.64.245, and 18.64.500; reenacting and amending RCW 69.41.010 and 69.41.030; adding new sections to chapter 18.64 RCW;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(29)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(30)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(31)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(32)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(33)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an osteopathic physician licensed under chapter 18.57 RCW, or an advanced registered nurse practitioner licensed under chapter 18.79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except as prohibited by federal law. The commission must adopt rules providing for the safe and efficient repackaging, reuse, and disposal of unused drugs returned to a pharmacy from a long-term care facility or hospice program. In adopting rules, the commission must take into consideration the acceptance and dispensing requirements of RCW 69.70.050 (1), (2),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technicians in a closed door long-term care pharmacy. For the purpose of such standards, a pharmacy technician licensed under chapter 18.64A RCW may not be considered to be practicing as a pharmacy technician while performing administrative tasks not associated with immediate dispensing 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2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w:t>
      </w:r>
      <w:r>
        <w:t>((</w:t>
      </w:r>
      <w:r>
        <w:rPr>
          <w:strike/>
        </w:rPr>
        <w:t xml:space="preserve">be limited by time</w:t>
      </w:r>
      <w:r>
        <w:t>))</w:t>
      </w:r>
      <w:r>
        <w:rPr/>
        <w:t xml:space="preserve"> </w:t>
      </w:r>
      <w:r>
        <w:rPr>
          <w:u w:val="single"/>
        </w:rPr>
        <w:t xml:space="preserve">continue in effect until discontinued by a physician or other authorized prescriber, unless the order is specifically limited by time</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for a resident in a long-term care facility or hospice program, pursuant to a valid order and authorization under section 2 of this act,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07eeaffb5b1f44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ac53141e64116" /><Relationship Type="http://schemas.openxmlformats.org/officeDocument/2006/relationships/footer" Target="/word/footer.xml" Id="R07eeaffb5b1f440b" /></Relationships>
</file>