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391f1dba649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6299</w:t>
      </w:r>
    </w:p>
    <w:p>
      <w:pPr>
        <w:jc w:val="center"/>
        <w:spacing w:before="480" w:after="0" w:line="240"/>
      </w:pPr>
      <w:r>
        <w:t xml:space="preserve">Chapter </w:t>
      </w:r>
      <w:r>
        <w:rPr/>
        <w:t xml:space="preserve">32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TRANSPORTATION REVENUE--MANIFEST 2015 DRAFTING ERRORS</w:t>
      </w:r>
    </w:p>
    <w:p>
      <w:pPr>
        <w:spacing w:before="720" w:after="240" w:line="240" w:lineRule="exact"/>
        <w:ind w:left="0" w:right="0" w:firstLine="576"/>
        <w:jc w:val="center"/>
      </w:pPr>
      <w:r>
        <w:t xml:space="preserve">EFFECTIVE DATE: </w:t>
      </w:r>
      <w:r>
        <w:rPr/>
        <w:t xml:space="preserve">3/25/2016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87</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2:39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6299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King and Hobbs</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certain manifest drafting errors in chapter 44, Laws of 2015 3rd sp. sess. (transportation revenue); amending RCW 46.20.202 and 82.70.040;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third special legislative session of 2015, the legislature passed Second Engrossed Substitute Senate Bill No. 5987 (chapter 44, Laws of 2015 3rd sp. sess.), a significant transportation revenue bill intended to provide needed transportation funding throughout the state. However, since the enactment of that legislation, certain drafting errors were discovered within the bill resulting in some provisions being enacted contrary to legislative intent. Therefore, it is the intent of the legislature to simply correct manifest drafting errors in order to conform certain provisions with the original legislative intent of Second Engrossed Substitute Senate Bill No. 5987. It is not the intent of the legislature to alter the intended substantive policy enacted in Second Engrossed Substitute Senate Bill No. 5987, but rather to make technical changes that correct certain drafting errors.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rPr>
          <w:u w:val="singl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u w:val="single"/>
        </w:rPr>
        <w:t xml:space="preserve">(b)</w:t>
      </w:r>
      <w:r>
        <w:rPr/>
        <w:t xml:space="preserve"> 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3rd sp.s. c 44 s 414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The department must keep a running total of all credits allowed under RCW 82.70.020 during each fiscal year. The department may not allow any credits that would cause the total amount allowed to exceed two million seven hundred fifty thousand dollars in any fiscal year.</w:t>
      </w:r>
    </w:p>
    <w:p>
      <w:pPr>
        <w:spacing w:before="0" w:after="0" w:line="408" w:lineRule="exact"/>
        <w:ind w:left="0" w:right="0" w:firstLine="576"/>
        <w:jc w:val="left"/>
      </w:pPr>
      <w:r>
        <w:t>((</w:t>
      </w:r>
      <w:r>
        <w:rPr>
          <w:strike/>
        </w:rPr>
        <w:t xml:space="preserve">(ii) The department shall not allow any credits that would cause the total amount allowed to exceed one million five hundred thousand dollars in any fiscal year.</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one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rPr/>
        <w:t xml:space="preserve">(5) No person is eligible for tax credits under RCW 82.70.020 if the additional revenues for the multimodal transportation account created by chapter 361, Laws of 2003 are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retroactively to July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132f2e6c7ac1495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ae8ee93e0461a" /><Relationship Type="http://schemas.openxmlformats.org/officeDocument/2006/relationships/footer" Target="/word/footer.xml" Id="R132f2e6c7ac14955" /></Relationships>
</file>