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7e6766149476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6491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23</w:t>
      </w:r>
      <w:r>
        <w:t xml:space="preserve">, Laws of 2016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Veto Override 2016 1st Special Session</w:t>
      </w:r>
    </w:p>
    <w:p>
      <w:pPr>
        <w:jc w:val="center"/>
        <w:spacing w:before="480" w:after="0" w:line="240"/>
      </w:pPr>
      <w:r>
        <w:rPr/>
        <w:t xml:space="preserve">APOSTILLE SERVICES--SECRETARY OF STATE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6/28/2016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17,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2,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2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6491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Vetoed March 10, 2016 10:26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30, 2016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6491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Veto Override 2016 1st Special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Pedersen and Roach; by request of Secretary of State</w:t>
      </w:r>
    </w:p>
    <w:p/>
    <w:p>
      <w:r>
        <w:rPr>
          <w:t xml:space="preserve">Read first time 01/22/16.  </w:t>
        </w:rPr>
      </w:r>
      <w:r>
        <w:rPr>
          <w:t xml:space="preserve">Referred to Committee on Government Operations &amp; Security.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apostille or other signature or attestation services by the secretary of state; and adding a new section to chapter 43.07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07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secretary of state may attest to the authenticity of the signature of a public official in the state of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secretary of state may attest to the authenticity, or certify a signature of, a notary public except as noted in subsection (3)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secretary of state may not certify or attest to the signature of a notary public on a document: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Regarding allegiance to a government or jurisdiction;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Relating to the relinquishment or renunciation of citizenship, sovereignty, military status, or world service authority;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Setting forth or implying for the bearer a claim of immunity from the laws of the jurisdictions of Washington, immunity from the laws of the state of Washington, or immunity from federal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secretary of state may adopt rules to implement this section.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17,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2,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Vetoed by the Governor March 10,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30, 2016.</w:t>
      </w:r>
    </w:p>
    <w:sectPr>
      <w:pgNumType w:start="1"/>
      <w:footerReference xmlns:r="http://schemas.openxmlformats.org/officeDocument/2006/relationships" r:id="Ra21407b608c54a7b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6491.SL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1404d292c449a" /><Relationship Type="http://schemas.openxmlformats.org/officeDocument/2006/relationships/footer" Target="/word/footer.xml" Id="Ra21407b608c54a7b" /></Relationships>
</file>