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81c6a836c4f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6620</w:t>
      </w:r>
    </w:p>
    <w:p>
      <w:pPr>
        <w:jc w:val="center"/>
        <w:spacing w:before="480" w:after="0" w:line="240"/>
      </w:pPr>
      <w:r>
        <w:t xml:space="preserve">Chapter </w:t>
      </w:r>
      <w:r>
        <w:rPr/>
        <w:t xml:space="preserve">240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SCHOOL SAFETY AND SECURITY--PLANNING</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82</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6620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5:32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McAuliffe, Dammeier, Rolfes, Litzow, Billig, Keiser, and Conway</w:t>
      </w:r>
    </w:p>
    <w:p/>
    <w:p>
      <w:r>
        <w:rPr>
          <w:t xml:space="preserve">Read first time 01/29/16.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cost-effective methods for maintaining and increasing school safety; adding a new section to chapter 28A.300 RCW; adding a new section to chapter 28A.310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 In order to foster a school climate that promotes safety and security, school district staff should receive proper training in developing students' social and emotional skills.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 The module must promote students' self-awareness, self-management, social-awareness, relationships, and responsible decision making.</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may implement a regional school safety and security program modeled after the educational service district that has developed a regional school safety and security center.</w:t>
      </w:r>
    </w:p>
    <w:p>
      <w:pPr>
        <w:spacing w:before="0" w:after="0" w:line="408" w:lineRule="exact"/>
        <w:ind w:left="0" w:right="0" w:firstLine="576"/>
        <w:jc w:val="left"/>
      </w:pPr>
      <w:r>
        <w:rPr/>
        <w:t xml:space="preserve">(2) The programs should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collaborative relationships between other educational service districts, the office of the superintendent of public instruction, and the school safety advisory committee.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403205c0524f43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718d15e624a6e" /><Relationship Type="http://schemas.openxmlformats.org/officeDocument/2006/relationships/footer" Target="/word/footer.xml" Id="R403205c0524f4393" /></Relationships>
</file>