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640ed544443ef" /></Relationships>
</file>

<file path=word/document.xml><?xml version="1.0" encoding="utf-8"?>
<w:document xmlns:w="http://schemas.openxmlformats.org/wordprocessingml/2006/main">
  <w:body>
    <w:p>
      <w:r>
        <w:rPr>
          <w:b/>
        </w:rPr>
        <w:r>
          <w:rPr/>
          <w:t xml:space="preserve">1080-S2</w:t>
        </w:r>
      </w:r>
      <w:r>
        <w:rPr>
          <w:b/>
        </w:rPr>
        <w:t xml:space="preserve"> </w:t>
        <w:t xml:space="preserve">AMH</w:t>
      </w:r>
      <w:r>
        <w:rPr>
          <w:b/>
        </w:rPr>
        <w:t xml:space="preserve"> </w:t>
        <w:r>
          <w:rPr/>
          <w:t xml:space="preserve">THAR</w:t>
        </w:r>
      </w:r>
      <w:r>
        <w:rPr>
          <w:b/>
        </w:rPr>
        <w:t xml:space="preserve"> </w:t>
        <w:r>
          <w:rPr/>
          <w:t xml:space="preserve">H3999.1</w:t>
        </w:r>
      </w:r>
      <w:r>
        <w:rPr>
          <w:b/>
        </w:rPr>
        <w:t xml:space="preserve"> - NOT FOR FLOOR USE</w:t>
      </w:r>
    </w:p>
    <w:p>
      <w:pPr>
        <w:ind w:left="0" w:right="0" w:firstLine="576"/>
      </w:pPr>
    </w:p>
    <w:p>
      <w:pPr>
        <w:spacing w:before="480" w:after="0" w:line="408" w:lineRule="exact"/>
      </w:pPr>
      <w:r>
        <w:rPr>
          <w:b/>
          <w:u w:val="single"/>
        </w:rPr>
        <w:t xml:space="preserve">2SHB 1080</w:t>
      </w:r>
      <w:r>
        <w:t xml:space="preserve"> -</w:t>
      </w:r>
      <w:r>
        <w:t xml:space="preserve"> </w:t>
        <w:t xml:space="preserve">H AMD</w:t>
      </w:r>
      <w:r>
        <w:t xml:space="preserve"> </w:t>
      </w:r>
      <w:r>
        <w:rPr>
          <w:b/>
        </w:rPr>
        <w:t xml:space="preserve">684</w:t>
      </w:r>
    </w:p>
    <w:p>
      <w:pPr>
        <w:spacing w:before="0" w:after="0" w:line="408" w:lineRule="exact"/>
        <w:ind w:left="0" w:right="0" w:firstLine="576"/>
        <w:jc w:val="left"/>
      </w:pPr>
      <w:r>
        <w:rPr/>
        <w:t xml:space="preserve">By Representative Tharinger</w:t>
      </w:r>
    </w:p>
    <w:p>
      <w:pPr>
        <w:jc w:val="right"/>
      </w:pPr>
      <w:r>
        <w:rPr>
          <w:b/>
        </w:rPr>
        <w:t xml:space="preserve">ADOPTED 01/18/2018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PROJECTS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thirty million two hundred thirty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six million one hundred thirty-one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WATERSHED RESTORATION AND ENHANCEMENT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the watershed and fisheries restoration and enhancement program, the state finance committee is authorized to issue general obligation bonds of the state of Washington in the sum of three hundred million dollars, or as much thereof as may be required, to finance the projects and all costs incidental thereto. Bonds authorized in this section may be sold at such price as the state finance committee shall determine.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201 of this act will be dispersed in phases of no more than twenty million dollars per year over fifteen years, beginning with the 2017-2019 biennium. This is not intended to limit the state's ability to disperse bond proceeds if the full amount authorized in section 201 of this act has not been dispersed after fifteen years. The authorization to issue bonds contained in section 201 of this act does not expire until the full authorization has been issued and dispersed.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watershed restoration and enhancement bond account. If the state finance committee deems it necessary to issue the bonds authorized in section 201 of this act as taxable bonds in order to comply with federal internal revenue service rules and regulations pertaining to the use of nontaxable bond proceeds, the proceeds of such taxable bonds must be deposited into the watershed restoration and enhancement taxable bond account. The state treasurer shall submit written notice to the director of financial management if it is determined that any such transfer to the watershed restoration and enhancement taxable bond account is necessary. The proceeds shall be used exclusively for the purposes specified in section 201 of this act and for the payment of expenses incurred in the issuance and sale of the bonds. These proceeds shall be administered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debt-limit general fund bond retirement account shall be used for the payment of the principal of and interest on the bonds authorized in section 201 of this act.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204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the State Finance Committee to issue up to $2,930,230,000 in state general obligation bonds to finance projects in the 2017-2019 Capital Budget and to pay expenses incurred in the issuance and sale of the bonds. Adds a June 30, 2018, expiration date to several bond authorizations that remain unissued.</w:t>
      </w:r>
    </w:p>
    <w:p>
      <w:pPr>
        <w:spacing w:before="0" w:after="0" w:line="408" w:lineRule="exact"/>
        <w:ind w:left="0" w:right="0" w:firstLine="576"/>
        <w:jc w:val="left"/>
      </w:pPr>
      <w:r>
        <w:rPr/>
        <w:t xml:space="preserve">Authorizes the State Finance Committee to issue up to $300,000,000 in state general obligation bonds for the Watershed and Fisheries Restoration and Enhancement Program. The bond sale and bond proceeds are not subject to appropriation. Expresses the intent that the bond proceeds are dispersed in phases with no more than $20 million per year over fifteen years, beginning with 2017-2019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0acd423d24d83" /></Relationships>
</file>