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b1f42fe0645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1535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H2253.1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1535</w:t>
      </w:r>
      <w:r>
        <w:t xml:space="preserve"> -</w:t>
      </w:r>
      <w:r>
        <w:t xml:space="preserve"> </w:t>
        <w:t xml:space="preserve">H AMD TO H AMD (H-2199.1/17)</w:t>
      </w:r>
      <w:r>
        <w:t xml:space="preserve"> </w:t>
      </w:r>
      <w:r>
        <w:rPr>
          <w:b/>
        </w:rPr>
        <w:t xml:space="preserve">143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18 of the amendment,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13 of the amendment, after "county" strike all material through "thousand"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24 of the amendment, strike all material through "</w:t>
      </w:r>
      <w:r>
        <w:rPr>
          <w:u w:val="single"/>
        </w:rPr>
        <w:t xml:space="preserve">section, t</w:t>
      </w:r>
      <w:r>
        <w:rPr/>
        <w:t xml:space="preserve">he"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31 of the amendment,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10 of the amendment, strike all material through "</w:t>
      </w:r>
      <w:r>
        <w:rPr>
          <w:u w:val="single"/>
        </w:rPr>
        <w:t xml:space="preserve">chapter, c</w:t>
      </w:r>
      <w:r>
        <w:rPr/>
        <w:t xml:space="preserve">ounty" and insert "County"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16 of the amendment,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20 of the amendment, strike all material through "</w:t>
      </w:r>
      <w:r>
        <w:rPr>
          <w:u w:val="single"/>
        </w:rPr>
        <w:t xml:space="preserve">e</w:t>
      </w:r>
      <w:r>
        <w:rPr/>
        <w:t xml:space="preserve">ach" on line 21 and insert "Each"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22 of the amendment, after "county" insert "</w:t>
      </w:r>
      <w:r>
        <w:rPr>
          <w:u w:val="single"/>
        </w:rPr>
        <w:t xml:space="preserve">unless the county chooses to hold both district nominations and district elections for the office of county commissioner, pursuant to section 2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23 of the amendment, strike all material through "</w:t>
      </w:r>
      <w:r>
        <w:rPr>
          <w:u w:val="single"/>
        </w:rPr>
        <w:t xml:space="preserve">resides.</w:t>
      </w:r>
      <w:r>
        <w:rPr/>
        <w:t xml:space="preserve">" on line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for noncharter counties over 400,000 population to adopt district-based elections. Makes the change to district-based elections optional for any noncharter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d45232b6a4ba5" /></Relationships>
</file>