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a02160e534f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H4565.1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Manweller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28, after "</w:t>
      </w:r>
      <w:r>
        <w:rPr>
          <w:strike/>
        </w:rPr>
        <w:t xml:space="preserve">the</w:t>
      </w:r>
      <w:r>
        <w:rPr/>
        <w:t xml:space="preserve">" strike all material through "</w:t>
      </w:r>
      <w:r>
        <w:rPr>
          <w:strike/>
        </w:rPr>
        <w:t xml:space="preserve">plans.</w:t>
      </w:r>
      <w:r>
        <w:t>))</w:t>
      </w:r>
      <w:r>
        <w:rPr/>
        <w:t xml:space="preserve">" on line 35 and insert "</w:t>
      </w:r>
      <w:r>
        <w:rPr>
          <w:strike/>
        </w:rPr>
        <w:t xml:space="preserve">program.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Based on the performance of local homeless housing programs in meeting their ((</w:t>
      </w:r>
      <w:r>
        <w:rPr>
          <w:strike/>
        </w:rPr>
        <w:t xml:space="preserve">interim</w:t>
      </w:r>
      <w:r>
        <w:rPr/>
        <w:t xml:space="preserve">)) goals, on general population changes and on changes in the homeless population recorded in the annual census, the department may ((</w:t>
      </w:r>
      <w:r>
        <w:rPr>
          <w:strike/>
        </w:rPr>
        <w:t xml:space="preserve">revise the performance measures and goals of the state homeless housing strategic plan, set goals for years following the initial ten-year period, and recommend changes in</w:t>
      </w:r>
      <w:r>
        <w:rPr/>
        <w:t xml:space="preserve">)) </w:t>
      </w:r>
      <w:r>
        <w:rPr>
          <w:u w:val="single"/>
        </w:rPr>
        <w:t xml:space="preserve">require</w:t>
      </w:r>
      <w:r>
        <w:rPr/>
        <w:t xml:space="preserve"> local governments((</w:t>
      </w:r>
      <w:r>
        <w:rPr>
          <w:strike/>
        </w:rPr>
        <w:t xml:space="preserve">'</w:t>
      </w:r>
      <w:r>
        <w:rPr/>
        <w:t xml:space="preserve">)) </w:t>
      </w:r>
      <w:r>
        <w:rPr>
          <w:u w:val="single"/>
        </w:rPr>
        <w:t xml:space="preserve">to make changes to their homeless housing</w:t>
      </w:r>
      <w:r>
        <w:rPr/>
        <w:t xml:space="preserve"> plans </w:t>
      </w:r>
      <w:r>
        <w:rPr>
          <w:u w:val="single"/>
        </w:rPr>
        <w:t xml:space="preserve">to be eligible for state funding provided by the department for local homeless housing programs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Department of Commerce (department) to require local governments to change their homeless housing plan to be eligible for state funding provided by the Department.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3c5913a6d43ae" /></Relationships>
</file>