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fe2b8e00a40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1752-S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MANW</w:t>
        </w:r>
      </w:r>
      <w:r>
        <w:rPr>
          <w:b/>
        </w:rPr>
        <w:t xml:space="preserve"> </w:t>
        <w:r>
          <w:rPr/>
          <w:t xml:space="preserve">H2231.1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1752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Manweller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"area." insert "The board must analyze the effects of the state supreme court case </w:t>
      </w:r>
      <w:r>
        <w:rPr>
          <w:i/>
        </w:rPr>
        <w:t xml:space="preserve">Foster v. Department of Ecology,</w:t>
      </w:r>
      <w:r>
        <w:rPr/>
        <w:t xml:space="preserve"> 184 Wn.2d 465 (2015) on the affordability of housing in urban areas."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study to consider the effect to housing affordability by the case </w:t>
      </w:r>
      <w:r>
        <w:rPr>
          <w:i/>
        </w:rPr>
        <w:t xml:space="preserve">Foster v. Dep't. of Ecology</w:t>
      </w:r>
      <w:r>
        <w:rPr/>
        <w:t xml:space="preserve">, regarding withdrawal of water and impacts on senior water rights.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f89b200ab403e" /></Relationships>
</file>