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c117dd80bf4402" /></Relationships>
</file>

<file path=word/document.xml><?xml version="1.0" encoding="utf-8"?>
<w:document xmlns:w="http://schemas.openxmlformats.org/wordprocessingml/2006/main">
  <w:body>
    <w:p>
      <w:r>
        <w:rPr>
          <w:b/>
        </w:rPr>
        <w:r>
          <w:rPr/>
          <w:t xml:space="preserve">2114-S.E</w:t>
        </w:r>
      </w:r>
      <w:r>
        <w:rPr>
          <w:b/>
        </w:rPr>
        <w:t xml:space="preserve"> </w:t>
        <w:t xml:space="preserve">AMH</w:t>
      </w:r>
      <w:r>
        <w:rPr>
          <w:b/>
        </w:rPr>
        <w:t xml:space="preserve"> </w:t>
        <w:r>
          <w:rPr/>
          <w:t xml:space="preserve">CODY</w:t>
        </w:r>
      </w:r>
      <w:r>
        <w:rPr>
          <w:b/>
        </w:rPr>
        <w:t xml:space="preserve"> </w:t>
        <w:r>
          <w:rPr/>
          <w:t xml:space="preserve">H4762.3</w:t>
        </w:r>
      </w:r>
      <w:r>
        <w:rPr>
          <w:b/>
        </w:rPr>
        <w:t xml:space="preserve"> - NOT FOR FLOOR USE</w:t>
      </w:r>
    </w:p>
    <w:p>
      <w:pPr>
        <w:ind w:left="0" w:right="0" w:firstLine="576"/>
      </w:pPr>
    </w:p>
    <w:p>
      <w:pPr>
        <w:spacing w:before="480" w:after="0" w:line="408" w:lineRule="exact"/>
      </w:pPr>
      <w:r>
        <w:rPr>
          <w:b/>
          <w:u w:val="single"/>
        </w:rPr>
        <w:t xml:space="preserve">ESHB 2114</w:t>
      </w:r>
      <w:r>
        <w:t xml:space="preserve"> -</w:t>
      </w:r>
      <w:r>
        <w:t xml:space="preserve"> </w:t>
        <w:t xml:space="preserve">H AMD</w:t>
      </w:r>
      <w:r>
        <w:t xml:space="preserve"> </w:t>
      </w:r>
      <w:r>
        <w:rPr>
          <w:b/>
        </w:rPr>
        <w:t xml:space="preserve">955</w:t>
      </w:r>
    </w:p>
    <w:p>
      <w:pPr>
        <w:spacing w:before="0" w:after="0" w:line="408" w:lineRule="exact"/>
        <w:ind w:left="0" w:right="0" w:firstLine="576"/>
        <w:jc w:val="left"/>
      </w:pPr>
      <w:r>
        <w:rPr/>
        <w:t xml:space="preserve">By Representatives Cody, Caldier, Harris</w:t>
      </w:r>
    </w:p>
    <w:p>
      <w:pPr>
        <w:jc w:val="right"/>
      </w:pPr>
      <w:r>
        <w:rPr>
          <w:b/>
        </w:rPr>
        <w:t xml:space="preserve">ADOPTED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consumers receive surprise bills or balance bills for services provided by out-of-network health care providers at in-network facilities, and it is the intent of the legislature to ban the balance billing of consumers for all fully insured, regulated insurance plans and plans offered to public employees. The legislature further declares that consumers must not be placed in the middle of contractual disputes between providers and health insurance carriers. The legislature intends to remove consumers from such disputes by banning balance billing and requiring that payments for noncontracted providers be made directly to providers rather than to consumers. Facilities, providers, and health insurance carriers all share responsibility to ensure consumers have transparent information on network providers and benefit coverage, and the insurance commissioner has the responsibility to ensure networks are adequate and include sufficient contracted providers to reasonably ensure consumers have in-network access for covered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w:t>
      </w:r>
      <w:r>
        <w:rPr>
          <w:u w:val="single"/>
        </w:rPr>
        <w:t xml:space="preserve">"Balance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(5)</w:t>
      </w:r>
      <w:r>
        <w:rPr/>
        <w:t xml:space="preserve"> "Basic health plan" means the plan described under chapter 70.47 RCW, as revised from time to time.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"Basic health plan model plan" means a health plan as required in RCW 70.47.060(2)(e).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"Board" means the governing board of the Washington health benefit exchange established in chapter 43.71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"Concurrent review" means utilization review conducted during a patient's hospital stay or course of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"Dependent" means, at a minimum, the enrollee's legal spouse and dependent children who qualify for coverage under the enrollee's health benefit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"Employee" has the same meaning given to the term, as of January 1, 2008, under section 3(6) of the federal employee retirement income security act of 1974.</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"Exchange" means the Washington health benefit exchange established under chapter 43.71 RCW.</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"Final external review decision" means a determination by an independent review organization at the conclusion of an external review.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t>((</w:t>
      </w:r>
      <w:r>
        <w:rPr>
          <w:strike/>
        </w:rPr>
        <w:t xml:space="preserve">(27)</w:t>
      </w:r>
      <w:r>
        <w:t>))</w:t>
      </w:r>
      <w:r>
        <w:rPr/>
        <w:t xml:space="preserve"> </w:t>
      </w:r>
      <w:r>
        <w:rPr>
          <w:u w:val="single"/>
        </w:rPr>
        <w:t xml:space="preserve">(28) "In-network" or "participating" means a provider or facility that has contracted with a carrier or a carrier's contractor or subcontractor to provide health care services to enrollees for the purpose of receiving reimbursement from the carrier at specified levels as payment in full for the health care services, including applicable cost-sharing obligations.</w:t>
      </w:r>
    </w:p>
    <w:p>
      <w:pPr>
        <w:spacing w:before="0" w:after="0" w:line="408" w:lineRule="exact"/>
        <w:ind w:left="0" w:right="0" w:firstLine="576"/>
        <w:jc w:val="left"/>
      </w:pPr>
      <w:r>
        <w:rPr>
          <w:u w:val="single"/>
        </w:rPr>
        <w:t xml:space="preserve">(29)</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(30)</w:t>
      </w:r>
      <w:r>
        <w:t>))</w:t>
      </w:r>
      <w:r>
        <w:rPr/>
        <w:t xml:space="preserve"> </w:t>
      </w:r>
      <w:r>
        <w:rPr>
          <w:u w:val="single"/>
        </w:rPr>
        <w:t xml:space="preserve">(32)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(33) "Out-of-pocket maximum"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(34)</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(31)</w:t>
      </w:r>
      <w:r>
        <w:t>))</w:t>
      </w:r>
      <w:r>
        <w:rPr/>
        <w:t xml:space="preserve"> </w:t>
      </w:r>
      <w:r>
        <w:rPr>
          <w:u w:val="single"/>
        </w:rPr>
        <w:t xml:space="preserve">(35)</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(32)</w:t>
      </w:r>
      <w:r>
        <w:t>))</w:t>
      </w:r>
      <w:r>
        <w:rPr/>
        <w:t xml:space="preserve"> </w:t>
      </w:r>
      <w:r>
        <w:rPr>
          <w:u w:val="single"/>
        </w:rPr>
        <w:t xml:space="preserve">(36)</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(33)</w:t>
      </w:r>
      <w:r>
        <w:t>))</w:t>
      </w:r>
      <w:r>
        <w:rPr/>
        <w:t xml:space="preserve"> </w:t>
      </w:r>
      <w:r>
        <w:rPr>
          <w:u w:val="single"/>
        </w:rPr>
        <w:t xml:space="preserve">(37)</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(34)</w:t>
      </w:r>
      <w:r>
        <w:t>))</w:t>
      </w:r>
      <w:r>
        <w:rPr/>
        <w:t xml:space="preserve"> </w:t>
      </w:r>
      <w:r>
        <w:rPr>
          <w:u w:val="single"/>
        </w:rPr>
        <w:t xml:space="preserve">(38)</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(35)</w:t>
      </w:r>
      <w:r>
        <w:t>))</w:t>
      </w:r>
      <w:r>
        <w:rPr/>
        <w:t xml:space="preserve"> </w:t>
      </w:r>
      <w:r>
        <w:rPr>
          <w:u w:val="single"/>
        </w:rPr>
        <w:t xml:space="preserve">(39)</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(36)</w:t>
      </w:r>
      <w:r>
        <w:t>))</w:t>
      </w:r>
      <w:r>
        <w:rPr/>
        <w:t xml:space="preserve"> </w:t>
      </w:r>
      <w:r>
        <w:rPr>
          <w:u w:val="single"/>
        </w:rPr>
        <w:t xml:space="preserve">(40)</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(37)</w:t>
      </w:r>
      <w:r>
        <w:t>))</w:t>
      </w:r>
      <w:r>
        <w:rPr/>
        <w:t xml:space="preserve"> </w:t>
      </w:r>
      <w:r>
        <w:rPr>
          <w:u w:val="single"/>
        </w:rPr>
        <w:t xml:space="preserve">(41)</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sections 4 through 15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and</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 Payment for services described in subsection (1) of this section is subject to sections 6 and 7 of this act.</w:t>
      </w:r>
    </w:p>
    <w:p>
      <w:pPr>
        <w:spacing w:before="0" w:after="0" w:line="408" w:lineRule="exact"/>
        <w:ind w:left="0" w:right="0" w:firstLine="576"/>
        <w:jc w:val="left"/>
      </w:pPr>
      <w:r>
        <w:rPr/>
        <w:t xml:space="preserve">(3) For purposes of this subchapter, "surgical or ancillary services" means surgery, anesthesiology, pathology, radiology, laboratory, or hospitalist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5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he or she would have incurred if the services had been provided by an in-network provider or at an in-network facility;</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w:t>
      </w:r>
    </w:p>
    <w:p>
      <w:pPr>
        <w:spacing w:before="0" w:after="0" w:line="408" w:lineRule="exact"/>
        <w:ind w:left="0" w:right="0" w:firstLine="576"/>
        <w:jc w:val="left"/>
      </w:pPr>
      <w:r>
        <w:rPr/>
        <w:t xml:space="preserve">(i) May not balance bill or otherwise attempt to collect from the enrollee any amount greater than the in-network cost-sharing amount specified in the enrollee's or applicable group's health plan contract. This does not impact the provider's ability to collect a past due balance for the cost-sharing amount with interest;</w:t>
      </w:r>
    </w:p>
    <w:p>
      <w:pPr>
        <w:spacing w:before="0" w:after="0" w:line="408" w:lineRule="exact"/>
        <w:ind w:left="0" w:right="0" w:firstLine="576"/>
        <w:jc w:val="left"/>
      </w:pPr>
      <w:r>
        <w:rPr/>
        <w:t xml:space="preserve">(ii) May not report adverse information to a consumer credit reporting agency or commence a civil action against the enrollee before the expiration of one hundred fifty days after the initial billing for the amount owed by the enrollee under this subsection (1); and</w:t>
      </w:r>
    </w:p>
    <w:p>
      <w:pPr>
        <w:spacing w:before="0" w:after="0" w:line="408" w:lineRule="exact"/>
        <w:ind w:left="0" w:right="0" w:firstLine="576"/>
        <w:jc w:val="left"/>
      </w:pPr>
      <w:r>
        <w:rPr/>
        <w:t xml:space="preserve">(iii) May not use wage garnishments or liens on the primary residence of the enrollee as a means of collecting unpaid bills under this subsection (1);</w:t>
      </w:r>
    </w:p>
    <w:p>
      <w:pPr>
        <w:spacing w:before="0" w:after="0" w:line="408" w:lineRule="exact"/>
        <w:ind w:left="0" w:right="0" w:firstLine="576"/>
        <w:jc w:val="left"/>
      </w:pPr>
      <w:r>
        <w:rPr/>
        <w:t xml:space="preserve">(d) The carrier must:</w:t>
      </w:r>
    </w:p>
    <w:p>
      <w:pPr>
        <w:spacing w:before="0" w:after="0" w:line="408" w:lineRule="exact"/>
        <w:ind w:left="0" w:right="0" w:firstLine="576"/>
        <w:jc w:val="left"/>
      </w:pPr>
      <w:r>
        <w:rPr/>
        <w:t xml:space="preserve">(i) Calculate the in-network cost-sharing amount for the out-of-network provider or facility's services using the greater of the amounts specified in subsection (3) of this section; and</w:t>
      </w:r>
    </w:p>
    <w:p>
      <w:pPr>
        <w:spacing w:before="0" w:after="0" w:line="408" w:lineRule="exact"/>
        <w:ind w:left="0" w:right="0" w:firstLine="576"/>
        <w:jc w:val="left"/>
      </w:pPr>
      <w:r>
        <w:rPr/>
        <w:t xml:space="preserve">(ii) Treat any cost-sharing amounts paid by the enrollee for such services in the same manner as cost-sharing for health care services provided by an in-network provider and must apply any cost-sharing amounts paid by the enrollee for such services toward the limit on the enrollee's in-network out-of-pocket maximum expenses.</w:t>
      </w:r>
    </w:p>
    <w:p>
      <w:pPr>
        <w:spacing w:before="0" w:after="0" w:line="408" w:lineRule="exact"/>
        <w:ind w:left="0" w:right="0" w:firstLine="576"/>
        <w:jc w:val="left"/>
      </w:pPr>
      <w:r>
        <w:rPr/>
        <w:t xml:space="preserve">(e) If the enrollee pays the out-of-network provider or out-of-network facility an amount that exceeds the in-network cost-sharing amount specified in the carrier's explanation of benefits,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Upon receipt of an out-of-network provider or facility's bill for health care services described in section 5 of this act, the carrier must make its applicable payment directly to the provider or facility, rather than the enrollee.</w:t>
      </w:r>
    </w:p>
    <w:p>
      <w:pPr>
        <w:spacing w:before="0" w:after="0" w:line="408" w:lineRule="exact"/>
        <w:ind w:left="0" w:right="0" w:firstLine="576"/>
        <w:jc w:val="left"/>
      </w:pPr>
      <w:r>
        <w:rPr/>
        <w:t xml:space="preserve">(3) The carrier must adjudicate the claim using an allowed amount for the health care service that is the greater of:</w:t>
      </w:r>
    </w:p>
    <w:p>
      <w:pPr>
        <w:spacing w:before="0" w:after="0" w:line="408" w:lineRule="exact"/>
        <w:ind w:left="0" w:right="0" w:firstLine="576"/>
        <w:jc w:val="left"/>
      </w:pPr>
      <w:r>
        <w:rPr/>
        <w:t xml:space="preserve">(a) The median allowed amount paid to in-network providers for the health care service provided as determined by reference to the data set prepared by the Washington state all payer claims database under section 22 of this act, including any applicable enrollee in-network cost-sharing requirement;</w:t>
      </w:r>
    </w:p>
    <w:p>
      <w:pPr>
        <w:spacing w:before="0" w:after="0" w:line="408" w:lineRule="exact"/>
        <w:ind w:left="0" w:right="0" w:firstLine="576"/>
        <w:jc w:val="left"/>
      </w:pPr>
      <w:r>
        <w:rPr/>
        <w:t xml:space="preserve">(b) The median amount paid to out-of-network providers for the health care service provided, as determined by reference to the data set prepared by the Washington state all payer claims database under section 22 of this act, including any applicable enrollee in-network cost-sharing requirement; or</w:t>
      </w:r>
    </w:p>
    <w:p>
      <w:pPr>
        <w:spacing w:before="0" w:after="0" w:line="408" w:lineRule="exact"/>
        <w:ind w:left="0" w:right="0" w:firstLine="576"/>
        <w:jc w:val="left"/>
      </w:pPr>
      <w:r>
        <w:rPr/>
        <w:t xml:space="preserve">(c) One hundred seventy-five percent of the amount that would be paid under medicare, Title XVIII of the federal social security act, for the service, including any applicable enrollee in-network cost-sharing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event of a dispute between a carrier and an out-of-network provider or facility regarding payment for the services described in section 5 of this act, a party wishing to pursue a payment dispute must initiate an informal settlement communication no later than thirty days after receipt of payment or payment notification from the carrier. A party may not refuse to participate in a teleconference or in-person meeting if requested.</w:t>
      </w:r>
    </w:p>
    <w:p>
      <w:pPr>
        <w:spacing w:before="0" w:after="0" w:line="408" w:lineRule="exact"/>
        <w:ind w:left="0" w:right="0" w:firstLine="576"/>
        <w:jc w:val="left"/>
      </w:pPr>
      <w:r>
        <w:rPr/>
        <w:t xml:space="preserve">(2)(a) If the informal settlement communication does not result in a resolution, a carrier, out-of-network provider, or out-of-network facility may initiate arbitration to determine a reasonable payment amount. To initiate arbitration, the carrier, provider, or facility must provide written notification to the commissioner and the noninitiating party no later than sixty days after initiation of the informal settlement communication. The notification to the noninitiating party must state the initiating party's final offer. No later than thirty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six months of one another.</w:t>
      </w:r>
    </w:p>
    <w:p>
      <w:pPr>
        <w:spacing w:before="0" w:after="0" w:line="408" w:lineRule="exact"/>
        <w:ind w:left="0" w:right="0" w:firstLine="576"/>
        <w:jc w:val="left"/>
      </w:pPr>
      <w:r>
        <w:rPr/>
        <w:t xml:space="preserve">(3) Upon receipt of notification from the initiating party, the commissioner must provide the parties with a list of approved arbitrators or entities that provide binding arbitration. The arbitrators on the list must be trained by the American arbitration association or the American health lawyers association.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days of receipt of the list from the commissioner.</w:t>
      </w:r>
    </w:p>
    <w:p>
      <w:pPr>
        <w:spacing w:before="0" w:after="0" w:line="408" w:lineRule="exact"/>
        <w:ind w:left="0" w:right="0" w:firstLine="576"/>
        <w:jc w:val="left"/>
      </w:pPr>
      <w:r>
        <w:rPr/>
        <w:t xml:space="preserve">(4)(a) Each party must make written submissions to the arbitrator in support of its position no later than thirty days after the final selection of the arbitrator.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the reasonable attorneys' fees of the party not in default. No later than thirty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8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the appropriate amount to be paid to the out-of-network provider or facility, the arbitrator must consider the following factors:</w:t>
      </w:r>
    </w:p>
    <w:p>
      <w:pPr>
        <w:spacing w:before="0" w:after="0" w:line="408" w:lineRule="exact"/>
        <w:ind w:left="0" w:right="0" w:firstLine="576"/>
        <w:jc w:val="left"/>
      </w:pPr>
      <w:r>
        <w:rPr/>
        <w:t xml:space="preserve">(i) The median amounts determined under section 6(3)(a) and (b) of this act;</w:t>
      </w:r>
    </w:p>
    <w:p>
      <w:pPr>
        <w:spacing w:before="0" w:after="0" w:line="408" w:lineRule="exact"/>
        <w:ind w:left="0" w:right="0" w:firstLine="576"/>
        <w:jc w:val="left"/>
      </w:pPr>
      <w:r>
        <w:rPr/>
        <w:t xml:space="preserve">(ii) The median billed charge amount for the service at issue reported in the data set prepared by the Washington state all payer claims database under section 22 of this act;</w:t>
      </w:r>
    </w:p>
    <w:p>
      <w:pPr>
        <w:spacing w:before="0" w:after="0" w:line="408" w:lineRule="exact"/>
        <w:ind w:left="0" w:right="0" w:firstLine="576"/>
        <w:jc w:val="left"/>
      </w:pPr>
      <w:r>
        <w:rPr/>
        <w:t xml:space="preserve">(iii) The circumstances and complexity of the case, including time and place of service and whether the service was delivered at a level I or level II trauma center or a rural facility;</w:t>
      </w:r>
    </w:p>
    <w:p>
      <w:pPr>
        <w:spacing w:before="0" w:after="0" w:line="408" w:lineRule="exact"/>
        <w:ind w:left="0" w:right="0" w:firstLine="576"/>
        <w:jc w:val="left"/>
      </w:pPr>
      <w:r>
        <w:rPr/>
        <w:t xml:space="preserve">(iv) Patient characteristics; and</w:t>
      </w:r>
    </w:p>
    <w:p>
      <w:pPr>
        <w:spacing w:before="0" w:after="0" w:line="408" w:lineRule="exact"/>
        <w:ind w:left="0" w:right="0" w:firstLine="576"/>
        <w:jc w:val="left"/>
      </w:pPr>
      <w:r>
        <w:rPr/>
        <w:t xml:space="preserve">(v) The level of training, education, and experience of the provider.</w:t>
      </w:r>
    </w:p>
    <w:p>
      <w:pPr>
        <w:spacing w:before="0" w:after="0" w:line="408" w:lineRule="exact"/>
        <w:ind w:left="0" w:right="0" w:firstLine="576"/>
        <w:jc w:val="left"/>
      </w:pPr>
      <w:r>
        <w:rPr/>
        <w:t xml:space="preserve">(c) The arbitrator may also consider other information that a party believes is justified or other factors the arbitrator requests.</w:t>
      </w:r>
    </w:p>
    <w:p>
      <w:pPr>
        <w:spacing w:before="0" w:after="0" w:line="408" w:lineRule="exact"/>
        <w:ind w:left="0" w:right="0" w:firstLine="576"/>
        <w:jc w:val="left"/>
      </w:pPr>
      <w:r>
        <w:rPr/>
        <w:t xml:space="preserve">(5) Expenses incurred in the course of arbitration, including the arbitrator's expenses and fees, but not including attorneys' fees, must be paid by the party whose final offer was rejected by the arbitrator.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(6) The parties must enter into a nondisclosure agreement to protect any personal health information or fee information provided to the arbitrator.</w:t>
      </w:r>
    </w:p>
    <w:p>
      <w:pPr>
        <w:spacing w:before="0" w:after="0" w:line="408" w:lineRule="exact"/>
        <w:ind w:left="0" w:right="0" w:firstLine="576"/>
        <w:jc w:val="left"/>
      </w:pPr>
      <w:r>
        <w:rPr/>
        <w:t xml:space="preserve">(7) Chapter 7.04A RCW applies to arbitrations conducted under this section, but in the event of a conflict between this section and chapter 7.04A RCW, this section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7 of this act. The report must include summary information related to the matters decided through arbitration, as well as the following information for each dispute resolved through arbitration: The carrier;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it to the appropriate committees of the legislature annually by July 1st.</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nonemployed provider group that provides surgical or ancillary services at a hospital or ambulatory surgical facility must notify the hospital or ambulatory surgical facility of the carrier health plan networks in which the provider group is an in-network provider. The provider group must notify the hospital or ambulatory surgical facility if the contract between the provider group and such a carrier will be terminated. The provider group must provide the notice as soon as practicable, but in no case less than forty-five days prior to termination of the contract.</w:t>
      </w:r>
    </w:p>
    <w:p>
      <w:pPr>
        <w:spacing w:before="0" w:after="0" w:line="408" w:lineRule="exact"/>
        <w:ind w:left="0" w:right="0" w:firstLine="576"/>
        <w:jc w:val="left"/>
      </w:pPr>
      <w:r>
        <w:rPr/>
        <w:t xml:space="preserve">(2) A hospital or ambulatory surgical facility must post the following information on its web site, if one is available:</w:t>
      </w:r>
    </w:p>
    <w:p>
      <w:pPr>
        <w:spacing w:before="0" w:after="0" w:line="408" w:lineRule="exact"/>
        <w:ind w:left="0" w:right="0" w:firstLine="576"/>
        <w:jc w:val="left"/>
      </w:pPr>
      <w:r>
        <w:rPr/>
        <w:t xml:space="preserve">(a) A list of the carrier health plan provider networks with which the hospital or ambulatory surgical facility is an in-network provider; and</w:t>
      </w:r>
    </w:p>
    <w:p>
      <w:pPr>
        <w:spacing w:before="0" w:after="0" w:line="408" w:lineRule="exact"/>
        <w:ind w:left="0" w:right="0" w:firstLine="576"/>
        <w:jc w:val="left"/>
      </w:pPr>
      <w:r>
        <w:rPr/>
        <w:t xml:space="preserve">(b) For each nonemployed provider group with which the hospital or ambulatory surgical facility has a contract to provide surgical or ancillary services, whether the provider group contracts with the same carrier health plan provider networks as the hospital or ambulatory surgical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provider must provide information on its web site, if available, listing the carrier health plan provider networks with which the provider contracts.</w:t>
      </w:r>
    </w:p>
    <w:p>
      <w:pPr>
        <w:spacing w:before="0" w:after="0" w:line="408" w:lineRule="exact"/>
        <w:ind w:left="0" w:right="0" w:firstLine="576"/>
        <w:jc w:val="left"/>
      </w:pPr>
      <w:r>
        <w:rPr/>
        <w:t xml:space="preserve">(2)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Notice of rights under this subchapter using the standard template language developed under section 13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5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person, including a health care provider or facility, is violating a provision of this subchapter, the commissioner may submit information to the department of health or the appropriate disciplining authority for action.</w:t>
      </w:r>
    </w:p>
    <w:p>
      <w:pPr>
        <w:spacing w:before="0" w:after="0" w:line="408" w:lineRule="exact"/>
        <w:ind w:left="0" w:right="0" w:firstLine="576"/>
        <w:jc w:val="left"/>
      </w:pPr>
      <w:r>
        <w:rPr/>
        <w:t xml:space="preserve">(2) If any person, including a health care provider or facility, violates or has violated a provision of this subchapter, the department of health or the appropriate disciplining authority may levy a fine upon the person in an amount not to exceed one thousand dollars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violates or has violated any provision of this subchapter, the commissioner may levy a fine or apply remedies authorized under chapter 48.02 RCW.</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adopt rules to implement and administer this subchapter, including rules governing the dispute resolution process established in section 7 of this act.</w:t>
      </w:r>
    </w:p>
    <w:p>
      <w:pPr>
        <w:spacing w:before="0" w:after="0" w:line="408" w:lineRule="exact"/>
        <w:ind w:left="0" w:right="0" w:firstLine="576"/>
        <w:jc w:val="left"/>
      </w:pPr>
      <w:r>
        <w:rPr/>
        <w:t xml:space="preserve">(2)(a) The commissioner, in consultation with health carriers, health care providers, health care facilities, and consumers, must develop standard template language for notifying consumers:</w:t>
      </w:r>
    </w:p>
    <w:p>
      <w:pPr>
        <w:spacing w:before="0" w:after="0" w:line="408" w:lineRule="exact"/>
        <w:ind w:left="0" w:right="0" w:firstLine="576"/>
        <w:jc w:val="left"/>
      </w:pPr>
      <w:r>
        <w:rPr/>
        <w:t xml:space="preserve">(i) That they may not be balance billed for the health care services described in section 5 of this act and will receive the protections provided by section 6 of this act;</w:t>
      </w:r>
    </w:p>
    <w:p>
      <w:pPr>
        <w:spacing w:before="0" w:after="0" w:line="408" w:lineRule="exact"/>
        <w:ind w:left="0" w:right="0" w:firstLine="576"/>
        <w:jc w:val="left"/>
      </w:pPr>
      <w:r>
        <w:rPr/>
        <w:t xml:space="preserve">(ii) That they may be balance billed for health care services under circumstances other than those described in section 5 of this act.</w:t>
      </w:r>
    </w:p>
    <w:p>
      <w:pPr>
        <w:spacing w:before="0" w:after="0" w:line="408" w:lineRule="exact"/>
        <w:ind w:left="0" w:right="0" w:firstLine="576"/>
        <w:jc w:val="left"/>
      </w:pPr>
      <w:r>
        <w:rPr/>
        <w:t xml:space="preserve">(b) The standard template language must include contact information for the office of the insurance commissioner so that consumers may contact the office of the insurance commissioner if they believe they have received a balance bill in violation of this subchapter.</w:t>
      </w:r>
    </w:p>
    <w:p>
      <w:pPr>
        <w:spacing w:before="0" w:after="0" w:line="408" w:lineRule="exact"/>
        <w:ind w:left="0" w:right="0" w:firstLine="576"/>
        <w:jc w:val="left"/>
      </w:pPr>
      <w:r>
        <w:rPr/>
        <w:t xml:space="preserve">(c)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must be liberally construed to promote the public interest by ensuring that consumers are not billed out-of-network charges and do not receive additional bills from providers under the circumstances described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determining the adequacy of a proposed provider network or the ongoing adequacy of an in-force provider network, the commissioner must consider whether the carrier's proposed provider network or in-force provider network includes a sufficient number of contracted providers practicing at the same facilities with which the carrier has contracted for the proposed or established provider network to reasonably ensure enrollees have in-network access for covered benefits delivered at that facility.</w:t>
      </w:r>
    </w:p>
    <w:p>
      <w:pPr>
        <w:spacing w:before="0" w:after="0" w:line="408" w:lineRule="exact"/>
        <w:ind w:left="0" w:right="0" w:firstLine="576"/>
        <w:jc w:val="left"/>
      </w:pPr>
      <w:r>
        <w:rPr/>
        <w:t xml:space="preserve">(2) A hospital or ambulatory surgical facility must provide the carrier with information about the network status of nonemployed provider groups that provide services at the hospital or ambulatory surgical facility using the information provided under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2016 c 81 s 13 are each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 except as provided in RCW 9.97.020:</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r>
        <w:rPr>
          <w:u w:val="single"/>
        </w:rPr>
        <w:t xml:space="preserve">;</w:t>
      </w:r>
    </w:p>
    <w:p>
      <w:pPr>
        <w:spacing w:before="0" w:after="0" w:line="408" w:lineRule="exact"/>
        <w:ind w:left="0" w:right="0" w:firstLine="576"/>
        <w:jc w:val="left"/>
      </w:pPr>
      <w:r>
        <w:rPr>
          <w:u w:val="single"/>
        </w:rPr>
        <w:t xml:space="preserve">(20) To levy a fine in an amount not to exceed one thousand dollars per violation and take other action as permitted under the authority of the disciplining authority, if a report of a potential violation of sections 4 through 16 of this act by a health care provider is substantiated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sections 4 through 15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reports that a hospital has violated sections 4 through 16 of this act, the department may levy a fine upon the hospital in an amount not to exceed one thousand dollars per violation and take other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reports that an ambulatory surgical facility has violated sections 4 through 16 of this act, the department may levy a fine upon the ambulatory surgical facility in an amount not to exceed one thousand dollars per violation and take other action as permitted under the authority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sections 4 through 15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The office of financial management, with the lead organization, shall establish a data set and business process to provide health carriers, health care providers, and arbitrators with prevailing payment and billed charge amounts for the services described in section 5 of this act to assist in determining allowed amounts and resolving payment disputes for out-of-network medical services rendered by health care providers. The data and business process must be available beginning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16 of this act are each added to </w:t>
      </w:r>
      <w:r>
        <w:rPr/>
        <w:t xml:space="preserve">chapter </w:t>
      </w:r>
      <w:r>
        <w:t xml:space="preserve">48</w:t>
      </w:r>
      <w:r>
        <w:rPr/>
        <w:t xml:space="preserve">.</w:t>
      </w:r>
      <w:r>
        <w:t xml:space="preserve">43</w:t>
      </w:r>
      <w:r>
        <w:rPr/>
        <w:t xml:space="preserve"> RCW</w:t>
      </w:r>
      <w:r>
        <w:rPr/>
        <w:t xml:space="preserve"> and codified with the subchapter heading of "health care services balance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and 23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Insurance Coverage of Emergency Services: Removes the requirement that the patient know of, and consent to, material misrepresentations that would allow an insurer to rescind coverage of emergency services.</w:t>
      </w:r>
    </w:p>
    <w:p>
      <w:pPr>
        <w:spacing w:before="0" w:after="0" w:line="408" w:lineRule="exact"/>
        <w:ind w:left="0" w:right="0" w:firstLine="576"/>
        <w:jc w:val="left"/>
      </w:pPr>
      <w:r>
        <w:rPr/>
        <w:t xml:space="preserve">Balance Billing Prohibition: Prohibits balance billing for all nonemergency surgical or ancillary services provided in in-network hospitals and ambulatory surgical facilities by out-of-network providers, instead of only in cases where an in-network provider was unavailable or the need for the services was unforeseen.</w:t>
      </w:r>
    </w:p>
    <w:p>
      <w:pPr>
        <w:spacing w:before="0" w:after="0" w:line="408" w:lineRule="exact"/>
        <w:ind w:left="0" w:right="0" w:firstLine="576"/>
        <w:jc w:val="left"/>
      </w:pPr>
      <w:r>
        <w:rPr/>
        <w:t xml:space="preserve">Cost Sharing Amounts: (1) Removes the requirement that an out-of-network provider or facility request an explanation of benefits from the patient's insurer prior to billing him or her for in-network cost sharing amounts. (2) Requires the cost-sharing amount to be determined based on the insurance contract and the amount the provider was reimbursed, instead of on the insurer's median contracted rate. (3) Clarifies that the balance billing prohibition does not affect a provider's ability to collect past-due cost sharing amounts.</w:t>
      </w:r>
    </w:p>
    <w:p>
      <w:pPr>
        <w:spacing w:before="0" w:after="0" w:line="408" w:lineRule="exact"/>
        <w:ind w:left="0" w:right="0" w:firstLine="576"/>
        <w:jc w:val="left"/>
      </w:pPr>
      <w:r>
        <w:rPr/>
        <w:t xml:space="preserve">Out-of-Network Provider Reimbursement: (1) Removes the reimbursement methodology that requires the amount an insurer reimburses to an out-of-network provider to be determined by paying the billed charges, mediation, or arbitration, depending on the billed amount. (2) Requires the All Payer Claims Database (APCD) to establish a data set and business process to provide information on prevailing payment and billed charges amounts. (3) Requires the insurer to pay the out-of-network provider the greater of: (a) the median allowed amount paid to in-network providers for the service as determined by the APCD data set, (b) the median amount paid to out-of-network providers for the service as determined by the APCD data set, or (c) 175% of the Medicare rate.</w:t>
      </w:r>
    </w:p>
    <w:p>
      <w:pPr>
        <w:spacing w:before="0" w:after="0" w:line="408" w:lineRule="exact"/>
        <w:ind w:left="0" w:right="0" w:firstLine="576"/>
        <w:jc w:val="left"/>
      </w:pPr>
      <w:r>
        <w:rPr/>
        <w:t xml:space="preserve">Arbitration: (1) Allows an insurer or an out-of-network provider to enter into arbitration to resolve any reimbursement dispute, instead of only disputes of $2,000 or more. (2) Requires the party seeking arbitration to first initiate an informal settlement process. (3) Requires arbitration to be initiated no more than sixty days after initiation of the informal settlement process, instead of no more than 90 days after the receipt of the explanation of benefits. (4) Allows arbitration claims to be bundled if they involve identical parties, involve claims with the same or related CPT codes, and occur within the same six-month period. (5) Clarifies that the claim may be settled at any time before the arbitration proceeding. (6) Holds a party who is unresponsive in the arbitration party in default and requires that party to pay the final offer and attorneys' fees of the nondefaulting party. (7) Changes the factors the arbitrator must consider by (a) removing gross disparity as a factor, (b) including the median payment amounts determined by the APCD data set, (c) including the median billed charge amounts as determined by the APCD data set, (d) including the time and place of the service and whether the service was delivered at a level I or II trauma center or a rural facility, (e) including the level of training, education, and experience of the provider. (8) Allows the arbitrator to consider other information a party believes is justified or factors requested by the arbitrator.</w:t>
      </w:r>
    </w:p>
    <w:p>
      <w:pPr>
        <w:spacing w:before="0" w:after="0" w:line="408" w:lineRule="exact"/>
        <w:ind w:left="0" w:right="0" w:firstLine="576"/>
        <w:jc w:val="left"/>
      </w:pPr>
      <w:r>
        <w:rPr/>
        <w:t xml:space="preserve">Reporting/Notice Requirements: (1) Removes the requirement that hospitals and ambulatory surgical facilities provide notice to insurers about the network status of their contracted providers. (2) Removes the requirement that hospitals, ambulatory surgical facilities, and providers provide notice to patients regarding network status and balance billing. (3) Requires an insurer to update its web site and provider directory within 30 days after the addition or termination of a facility or provider, instead of only when the insurer had notice of the change. (4) Expands the information in the standard template to include information on balance billing protections and that they may be balanced billed in other circumstances. (5) Requires the Insurance Commissioner to adopt rules specifying when and how the standard template must be provided.</w:t>
      </w:r>
    </w:p>
    <w:p>
      <w:pPr>
        <w:spacing w:before="0" w:after="0" w:line="408" w:lineRule="exact"/>
        <w:ind w:left="0" w:right="0" w:firstLine="576"/>
        <w:jc w:val="left"/>
      </w:pPr>
      <w:r>
        <w:rPr/>
        <w:t xml:space="preserve">Network Adequacy: (1) Requires the Insurance Commissioner, when determining the adequacy of provider networks, to consider whether an insurer's network includes a sufficient number of contracted providers practicing at the same facilities with which the insurer has contracted for the network to reasonably ensure that enrollees have in-network access for covered benefits delivered at the facilities. (2) Requires a hospital or ambulatory surgical facility to provide an insurer with information about the network status of nonemployed provider groups that provide services at the hospital or ambulatory surgical facility.</w:t>
      </w:r>
    </w:p>
    <w:p>
      <w:pPr>
        <w:spacing w:before="0" w:after="0" w:line="408" w:lineRule="exact"/>
        <w:ind w:left="0" w:right="0" w:firstLine="576"/>
        <w:jc w:val="left"/>
      </w:pPr>
      <w:r>
        <w:rPr/>
        <w:t xml:space="preserve">Enforcement: (1) Changes the enforcing entity for provider and facility violations from the Insurance Commissioner to the Department of Health. (2) Requires the Insurance Commissioner to notify the Department of Health of possible violations. (3) Gives the Department of Health and health professions disciplining authorities the authority to levy fines if a report of a potential violation is substantiated. (4) Makes violations of balance billing protections unprofessional conduct under the Uniform Disciplinary Act. (5) Requires the Department of Health or the disciplining authority to notify the Insurance Commissioner of the results of a review.</w:t>
      </w:r>
    </w:p>
    <w:p>
      <w:pPr>
        <w:spacing w:before="0" w:after="0" w:line="408" w:lineRule="exact"/>
        <w:ind w:left="0" w:right="0" w:firstLine="576"/>
        <w:jc w:val="left"/>
      </w:pPr>
      <w:r>
        <w:rPr/>
        <w:t xml:space="preserve">Intent Section: Inserts an intent section.</w:t>
      </w:r>
    </w:p>
    <w:p>
      <w:pPr>
        <w:spacing w:before="0" w:after="0" w:line="408" w:lineRule="exact"/>
        <w:ind w:left="0" w:right="0" w:firstLine="576"/>
        <w:jc w:val="left"/>
      </w:pPr>
      <w:r>
        <w:rPr/>
        <w:t xml:space="preserve">Effective Date: Changes the effective date to January 1, 2019, instead of January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e5db0cb650436f" /></Relationships>
</file>