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554e58f874fbe" /></Relationships>
</file>

<file path=word/document.xml><?xml version="1.0" encoding="utf-8"?>
<w:document xmlns:w="http://schemas.openxmlformats.org/wordprocessingml/2006/main">
  <w:body>
    <w:p>
      <w:r>
        <w:rPr>
          <w:b/>
        </w:rPr>
        <w:r>
          <w:rPr/>
          <w:t xml:space="preserve">2309</w:t>
        </w:r>
      </w:r>
      <w:r>
        <w:rPr>
          <w:b/>
        </w:rPr>
        <w:t xml:space="preserve"> </w:t>
        <w:t xml:space="preserve">AMH</w:t>
      </w:r>
      <w:r>
        <w:rPr>
          <w:b/>
        </w:rPr>
        <w:t xml:space="preserve"> </w:t>
        <w:r>
          <w:rPr/>
          <w:t xml:space="preserve">KIRB</w:t>
        </w:r>
      </w:r>
      <w:r>
        <w:rPr>
          <w:b/>
        </w:rPr>
        <w:t xml:space="preserve"> </w:t>
        <w:r>
          <w:rPr/>
          <w:t xml:space="preserve">H4681.1</w:t>
        </w:r>
      </w:r>
      <w:r>
        <w:rPr>
          <w:b/>
        </w:rPr>
        <w:t xml:space="preserve"> - NOT FOR FLOOR USE</w:t>
      </w:r>
    </w:p>
    <w:p>
      <w:pPr>
        <w:ind w:left="0" w:right="0" w:firstLine="576"/>
      </w:pPr>
    </w:p>
    <w:p>
      <w:pPr>
        <w:spacing w:before="480" w:after="0" w:line="408" w:lineRule="exact"/>
      </w:pPr>
      <w:r>
        <w:rPr>
          <w:b/>
          <w:u w:val="single"/>
        </w:rPr>
        <w:t xml:space="preserve">HB 2309</w:t>
      </w:r>
      <w:r>
        <w:t xml:space="preserve"> -</w:t>
      </w:r>
      <w:r>
        <w:t xml:space="preserve"> </w:t>
        <w:t xml:space="preserve">H AMD</w:t>
      </w:r>
      <w:r>
        <w:t xml:space="preserve"> </w:t>
      </w:r>
      <w:r>
        <w:rPr>
          <w:b/>
        </w:rPr>
        <w:t xml:space="preserve">855</w:t>
      </w:r>
    </w:p>
    <w:p>
      <w:pPr>
        <w:spacing w:before="0" w:after="0" w:line="408" w:lineRule="exact"/>
        <w:ind w:left="0" w:right="0" w:firstLine="576"/>
        <w:jc w:val="left"/>
      </w:pPr>
      <w:r>
        <w:rPr/>
        <w:t xml:space="preserve">By Representative Kirby</w:t>
      </w:r>
    </w:p>
    <w:p>
      <w:pPr>
        <w:jc w:val="right"/>
      </w:pPr>
      <w:r>
        <w:rPr>
          <w:b/>
        </w:rPr>
        <w:t xml:space="preserve">ADOPTED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w:t>
      </w:r>
      <w:r>
        <w:rPr/>
        <w:t xml:space="preserve"> with or without coverage of appliances</w:t>
      </w:r>
      <w:r>
        <w:rPr>
          <w:u w:val="single"/>
        </w:rPr>
        <w:t xml:space="preserve">,</w:t>
      </w:r>
      <w:r>
        <w:rPr/>
        <w:t xml:space="preserve">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and the ability to pay its debts when debts become due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in accordance with the applicable requirements of subsection (3)(e) of this section and the ability to pay its debts when debts become due</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w:t>
      </w:r>
      <w:r>
        <w:rPr>
          <w:u w:val="single"/>
        </w:rPr>
        <w:t xml:space="preserve">(a)</w:t>
      </w:r>
      <w:r>
        <w:rPr/>
        <w:t xml:space="preserve">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provider </w:t>
      </w:r>
      <w:r>
        <w:t>((</w:t>
      </w:r>
      <w:r>
        <w:rPr>
          <w:strike/>
        </w:rPr>
        <w:t xml:space="preserve">is insolvent</w:t>
      </w:r>
      <w:r>
        <w:t>))</w:t>
      </w:r>
      <w:r>
        <w:rPr/>
        <w:t xml:space="preserve"> </w:t>
      </w:r>
      <w:r>
        <w:rPr>
          <w:u w:val="single"/>
        </w:rPr>
        <w:t xml:space="preserve">either does not maintain the minimum net worth required by this chapter or cannot pay its debts when debts become due, or both</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u w:val="single"/>
        </w:rPr>
        <w:t xml:space="preserve">(b) However, nothing in this subsection shall in any way be construed to limit the authority of the commissioner to take action against a service contract provider or a protection product guarantee provider granted by this chapter.</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A service contract provider must follow generally accepted accounting principles, as set forth by the financial accounting standards board, in regard to either unearned service contract fees or expected service contract claims, or both, when determining its net worth.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all intangible assets including, but not limited to,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as set forth by the financial accounting standards board. A protection product guarantee provider will follow generally accepted accounting principles, as set forth by the financial accounting standards board, in regard to either unearned protection product guarantee contract fees or expected protection product guarantee contract claims, or both, when determining net worth. A protection product guarantee provider may elect to use statutory accounting principles in lieu of generally accepted accounting principles."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service contract provider regulations:</w:t>
      </w:r>
    </w:p>
    <w:p>
      <w:pPr>
        <w:spacing w:before="0" w:after="0" w:line="408" w:lineRule="exact"/>
        <w:ind w:left="0" w:right="0" w:firstLine="576"/>
        <w:jc w:val="left"/>
      </w:pPr>
      <w:r>
        <w:rPr/>
        <w:t xml:space="preserve">(1) Specifies the service contract and protection product guarantee provider's net worth threshold is a minimum standard.</w:t>
      </w:r>
    </w:p>
    <w:p>
      <w:pPr>
        <w:spacing w:before="0" w:after="0" w:line="408" w:lineRule="exact"/>
        <w:ind w:left="0" w:right="0" w:firstLine="576"/>
        <w:jc w:val="left"/>
      </w:pPr>
      <w:r>
        <w:rPr/>
        <w:t xml:space="preserve">(2) Requires the service contract and protection product guarantee provider to demonstrate ability to pay its debts.</w:t>
      </w:r>
    </w:p>
    <w:p>
      <w:pPr>
        <w:spacing w:before="0" w:after="0" w:line="408" w:lineRule="exact"/>
        <w:ind w:left="0" w:right="0" w:firstLine="576"/>
        <w:jc w:val="left"/>
      </w:pPr>
      <w:r>
        <w:rPr/>
        <w:t xml:space="preserve">(3) Specifies the Office of the Insurance Commissioner's authority to take action against a service contract and protection product guarantee provider in accordance with the chapter.</w:t>
      </w:r>
    </w:p>
    <w:p>
      <w:pPr>
        <w:spacing w:before="0" w:after="0" w:line="408" w:lineRule="exact"/>
        <w:ind w:left="0" w:right="0" w:firstLine="576"/>
        <w:jc w:val="left"/>
      </w:pPr>
      <w:r>
        <w:rPr/>
        <w:t xml:space="preserve">(4) Requires service contract and protection product guarantee providers to use generally accepted accounting standards in regard to unearned contract fees or expected contract claims.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4d62009304676" /></Relationships>
</file>