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028e617a942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4610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H1253.1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HR 4610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NOT ADOPTED 01/25/2017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After the first sentence of Rule 12, insert the following:</w:t>
      </w:r>
    </w:p>
    <w:p>
      <w:pPr>
        <w:spacing w:before="12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(A) FUND EDUCATION FIRST. Education funding for the fiscal biennium, appropriations for the purposes of basic education, as defined by the legislature, and other K-12 education purposes must be enacted into law before it is in order for the house to take a final passage vote on omnibus operating or transportation appropriations legislation.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alphabetically.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3975ec33344f9" /></Relationships>
</file>