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bbd7b27d54c0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HUDG</w:t>
        </w:r>
      </w:r>
      <w:r>
        <w:rPr>
          <w:b/>
        </w:rPr>
        <w:t xml:space="preserve"> </w:t>
        <w:r>
          <w:rPr/>
          <w:t xml:space="preserve">H2649.1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5126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478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Hudgins</w:t>
      </w:r>
    </w:p>
    <w:p>
      <w:pPr>
        <w:jc w:val="right"/>
      </w:pPr>
      <w:r>
        <w:rPr>
          <w:b/>
        </w:rPr>
        <w:t xml:space="preserve">NOT CONSIDERED 01/05/2018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8, after "</w:t>
      </w:r>
      <w:r>
        <w:rPr>
          <w:u w:val="single"/>
        </w:rPr>
        <w:t xml:space="preserve">format</w:t>
      </w:r>
      <w:r>
        <w:rPr/>
        <w:t xml:space="preserve">" insert "</w:t>
      </w:r>
      <w:r>
        <w:rPr>
          <w:u w:val="single"/>
        </w:rPr>
        <w:t xml:space="preserve">, including fillable targets,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10, after "</w:t>
      </w:r>
      <w:r>
        <w:rPr>
          <w:u w:val="single"/>
        </w:rPr>
        <w:t xml:space="preserve">counties</w:t>
      </w:r>
      <w:r>
        <w:rPr/>
        <w:t xml:space="preserve">" insert "</w:t>
      </w:r>
      <w:r>
        <w:rPr>
          <w:u w:val="single"/>
        </w:rPr>
        <w:t xml:space="preserve">, which must require fillable targets, squares, ovals, or circles, to ensure a uniform method of voting statewide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master contract developed for the purchase of county vote tallying equipment to require fillable targets to ensure a uniform method of voting.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77d5d21fe4d3b" /></Relationships>
</file>