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409c1f1b641aa" /></Relationships>
</file>

<file path=word/document.xml><?xml version="1.0" encoding="utf-8"?>
<w:document xmlns:w="http://schemas.openxmlformats.org/wordprocessingml/2006/main">
  <w:body>
    <w:p>
      <w:r>
        <w:rPr>
          <w:b/>
        </w:rPr>
        <w:r>
          <w:rPr/>
          <w:t xml:space="preserve">5268</w:t>
        </w:r>
      </w:r>
      <w:r>
        <w:rPr>
          <w:b/>
        </w:rPr>
        <w:t xml:space="preserve"> </w:t>
        <w:t xml:space="preserve">AMH</w:t>
      </w:r>
      <w:r>
        <w:rPr>
          <w:b/>
        </w:rPr>
        <w:t xml:space="preserve"> </w:t>
        <w:r>
          <w:rPr/>
          <w:t xml:space="preserve">JINK</w:t>
        </w:r>
      </w:r>
      <w:r>
        <w:rPr>
          <w:b/>
        </w:rPr>
        <w:t xml:space="preserve"> </w:t>
        <w:r>
          <w:rPr/>
          <w:t xml:space="preserve">H2717.2</w:t>
        </w:r>
      </w:r>
      <w:r>
        <w:rPr>
          <w:b/>
        </w:rPr>
        <w:t xml:space="preserve"> - NOT FOR FLOOR USE</w:t>
      </w:r>
    </w:p>
    <w:p>
      <w:pPr>
        <w:ind w:left="0" w:right="0" w:firstLine="576"/>
      </w:pPr>
    </w:p>
    <w:p>
      <w:pPr>
        <w:spacing w:before="480" w:after="0" w:line="408" w:lineRule="exact"/>
      </w:pPr>
      <w:r>
        <w:rPr>
          <w:b/>
          <w:u w:val="single"/>
        </w:rPr>
        <w:t xml:space="preserve">SB 5268</w:t>
      </w:r>
      <w:r>
        <w:t xml:space="preserve"> -</w:t>
      </w:r>
      <w:r>
        <w:t xml:space="preserve"> </w:t>
        <w:t xml:space="preserve">H AMD</w:t>
      </w:r>
      <w:r>
        <w:t xml:space="preserve"> </w:t>
      </w:r>
      <w:r>
        <w:rPr>
          <w:b/>
        </w:rPr>
        <w:t xml:space="preserve">564</w:t>
      </w:r>
    </w:p>
    <w:p>
      <w:pPr>
        <w:spacing w:before="0" w:after="0" w:line="408" w:lineRule="exact"/>
        <w:ind w:left="0" w:right="0" w:firstLine="576"/>
        <w:jc w:val="left"/>
      </w:pPr>
      <w:r>
        <w:rPr/>
        <w:t xml:space="preserve">By Representative Jinkins</w:t>
      </w:r>
    </w:p>
    <w:p>
      <w:pPr>
        <w:jc w:val="right"/>
      </w:pPr>
      <w:r>
        <w:rPr>
          <w:b/>
        </w:rPr>
        <w:t xml:space="preserve">ADOPTED 04/19/2017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9.41.070 and 2017 c ... (SHB 1100)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w:t>
      </w:r>
      <w:r>
        <w:rPr>
          <w:u w:val="single"/>
        </w:rPr>
        <w:t xml:space="preserve">email address at the option of the applicant,</w:t>
      </w:r>
      <w:r>
        <w:rPr/>
        <w:t xml:space="preserve">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 (section 2, chapter . . . (SHB 1100), Laws of 2017).</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 (section 2, chapter . . . (SHB 1100), Laws of 2017).</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w:t>
      </w:r>
      <w:r>
        <w:rPr>
          <w:u w:val="single"/>
        </w:rPr>
        <w:t xml:space="preserve">Alternatively, if the licensee provides an email address at the time of license application, the department of licensing may send the renewal notice to the licensee's email address.</w:t>
      </w:r>
      <w:r>
        <w:rPr/>
        <w:t xml:space="preserve">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from the firearms range account by June 30, 2017,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a law enacted in this 2017 session (SHB 1100) that requires the Department of Licensing (DOL) to mail a concealed pistol license renewal notice to a licensee approximately 90 days prior to license expiration by adding that if a licensee provides an email address at the time of license application, the DOL may send the license renewal notice to the licensee's email address rather than providing the renewal notice by mail. Provides that the bill is null and void unless specifically funded in the budget with an appropriation from the Firearms Range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f75955ac2d42cb" /></Relationships>
</file>