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c4cf0ccfe4c2d" /></Relationships>
</file>

<file path=word/document.xml><?xml version="1.0" encoding="utf-8"?>
<w:document xmlns:w="http://schemas.openxmlformats.org/wordprocessingml/2006/main">
  <w:body>
    <w:p>
      <w:r>
        <w:rPr>
          <w:b/>
        </w:rPr>
        <w:r>
          <w:rPr/>
          <w:t xml:space="preserve">5438-S</w:t>
        </w:r>
      </w:r>
      <w:r>
        <w:rPr>
          <w:b/>
        </w:rPr>
        <w:t xml:space="preserve"> </w:t>
        <w:t xml:space="preserve">AMH</w:t>
      </w:r>
      <w:r>
        <w:rPr>
          <w:b/>
        </w:rPr>
        <w:t xml:space="preserve"> </w:t>
        <w:r>
          <w:rPr/>
          <w:t xml:space="preserve">ENVI</w:t>
        </w:r>
      </w:r>
      <w:r>
        <w:rPr>
          <w:b/>
        </w:rPr>
        <w:t xml:space="preserve"> </w:t>
        <w:r>
          <w:rPr/>
          <w:t xml:space="preserve">H2422.1</w:t>
        </w:r>
      </w:r>
      <w:r>
        <w:rPr>
          <w:b/>
        </w:rPr>
        <w:t xml:space="preserve"> - NOT FOR FLOOR USE</w:t>
      </w:r>
    </w:p>
    <w:p>
      <w:pPr>
        <w:ind w:left="0" w:right="0" w:firstLine="576"/>
      </w:pPr>
      <w:r>
        <w:rPr/>
        <w:t xml:space="preserve"> </w:t>
      </w:r>
    </w:p>
    <w:p>
      <w:pPr>
        <w:spacing w:before="480" w:after="0" w:line="408" w:lineRule="exact"/>
      </w:pPr>
      <w:r>
        <w:rPr>
          <w:b/>
          <w:u w:val="single"/>
        </w:rPr>
        <w:t xml:space="preserve">SSB 5438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Beginning December 31, 2018, and every two years thereafter, the department of ecology must submit a report consistent with RCW 43.01.036 on the environmental impact statements produced by state agencies and local governments to the appropriate committees of the legislature. The report must include data on the average time, and document the range of time, it took to complete environmental impact statements within the previous two years. The report must also identify any incomplete environmental impact statements that have exceeded the aspirational time limit established in subsection (1)(a) of this section.</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biennial report to the legislature on recently completed environmental impact statements (EIS) produced by state agencies and local governments to also identify any incomplete EISs that have been ongoing for longer than twenty-four months. Requires the biennial report to be submitted electronically and to be included in an online legislative report web site located on the legislative internet home page.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540b7419144f2" /></Relationships>
</file>