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2f7d2f37b43bd" /></Relationships>
</file>

<file path=word/document.xml><?xml version="1.0" encoding="utf-8"?>
<w:document xmlns:w="http://schemas.openxmlformats.org/wordprocessingml/2006/main">
  <w:body>
    <w:p>
      <w:r>
        <w:rPr>
          <w:b/>
        </w:rPr>
        <w:r>
          <w:rPr/>
          <w:t xml:space="preserve">5635</w:t>
        </w:r>
      </w:r>
      <w:r>
        <w:rPr>
          <w:b/>
        </w:rPr>
        <w:t xml:space="preserve"> </w:t>
        <w:t xml:space="preserve">AMH</w:t>
      </w:r>
      <w:r>
        <w:rPr>
          <w:b/>
        </w:rPr>
        <w:t xml:space="preserve"> </w:t>
        <w:r>
          <w:rPr/>
          <w:t xml:space="preserve">PS</w:t>
        </w:r>
      </w:r>
      <w:r>
        <w:rPr>
          <w:b/>
        </w:rPr>
        <w:t xml:space="preserve"> </w:t>
        <w:r>
          <w:rPr/>
          <w:t xml:space="preserve">H2526.1</w:t>
        </w:r>
      </w:r>
      <w:r>
        <w:rPr>
          <w:b/>
        </w:rPr>
        <w:t xml:space="preserve"> - NOT FOR FLOOR USE</w:t>
      </w:r>
    </w:p>
    <w:p>
      <w:pPr>
        <w:ind w:left="0" w:right="0" w:firstLine="576"/>
      </w:pPr>
    </w:p>
    <w:p>
      <w:pPr>
        <w:spacing w:before="480" w:after="0" w:line="408" w:lineRule="exact"/>
      </w:pPr>
      <w:r>
        <w:rPr>
          <w:b/>
          <w:u w:val="single"/>
        </w:rPr>
        <w:t xml:space="preserve">SB 5635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w:t>
      </w:r>
      <w:r>
        <w:rPr>
          <w:u w:val="single"/>
        </w:rPr>
        <w:t xml:space="preserve">used, under circumstances evincing an intent to use or employ, or</w:t>
      </w:r>
      <w:r>
        <w:rPr/>
        <w:t xml:space="preserv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Pr>
        <w:spacing w:before="0" w:after="0" w:line="408" w:lineRule="exact"/>
        <w:ind w:left="0" w:right="0" w:firstLine="576"/>
        <w:jc w:val="left"/>
      </w:pPr>
      <w:r>
        <w:rPr>
          <w:u w:val="single"/>
        </w:rPr>
        <w:t xml:space="preserve">(6)(a) A series of thefts committed by the same person from one or more mercantile establishments over a period of one hundred eighty days may be aggregated in one count and the sum of the value of all the property shall be the value considered in determining the degree of the retail theft with special circumstances involved. Thefts committed by the same person in different counties that have been aggregated in one county may be prosecuted in any county in which any one of the thefts occurred. In no case may an aggregated series of thefts, or a single theft that has been aggregated in one county, be prosecuted in more than one county.</w:t>
      </w:r>
    </w:p>
    <w:p>
      <w:pPr>
        <w:spacing w:before="0" w:after="0" w:line="408" w:lineRule="exact"/>
        <w:ind w:left="0" w:right="0" w:firstLine="576"/>
        <w:jc w:val="left"/>
      </w:pPr>
      <w:r>
        <w:rPr>
          <w:u w:val="single"/>
        </w:rPr>
        <w:t xml:space="preserve">(b)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the decision.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 prosecutor to aggregate multiple violations of Retail Theft with Special Circumstances committed within 180 days into a single unit of prosecution with the combined value of the property determining the degree of the offense. Specifies that an aggregated offense may be prosecuted in any county in which any one of the transactions occurred. Allows a mercantile establishment to request that a charge be aggregated with other thefts of property. Requires a prosecutor to promptly notify the mercantile establishment if he or she declines to aggregate the offense and specify the reasons for the decision.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cd74d994d4de4" /></Relationships>
</file>