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783117668406f"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MACE</w:t>
        </w:r>
      </w:r>
      <w:r>
        <w:rPr>
          <w:b/>
        </w:rPr>
        <w:t xml:space="preserve"> </w:t>
        <w:r>
          <w:rPr/>
          <w:t xml:space="preserve">H5163.3</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1384</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On page 1, after line 27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 </w:t>
      </w:r>
      <w:r>
        <w:rPr>
          <w:u w:val="single"/>
        </w:rPr>
        <w:t xml:space="preserve">Taxes collected under this subsection may not be used to pay the salary of the chief executive officer of a regional transit authority unless the salary is equal to the median income of the passengers on the transit operations of the regional transit authority. Savings attributable to any reduction in salary of the chief executive officer must be used to expedite projects being constructed by the regional transit authority.</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after line 35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This act may be known and cited as the taxpayer accountability act."</w:t>
      </w:r>
    </w:p>
    <w:p>
      <w:pPr>
        <w:spacing w:before="0" w:after="0" w:line="408" w:lineRule="exact"/>
        <w:ind w:left="0" w:right="0" w:firstLine="576"/>
        <w:jc w:val="left"/>
      </w:pPr>
      <w:r>
        <w:rPr>
          <w:u w:val="single"/>
        </w:rPr>
        <w:t xml:space="preserve">EFFECT:</w:t>
      </w:r>
      <w:r>
        <w:rPr/>
        <w:t xml:space="preserve"> Prohibits the use of motor vehicle excise taxes approved by the voters in 2016 for the payment of the salary of the chief executive officer (CEO) of the regional transit authority (RTA), unless the salary of the CEO is equal to the median income of the transit passengers of the RTA. Provides that the RTA may use the savings from any salary reduction of the CEO to expedite projects that are part of the system plan approved by the RTA voters in 2016. Labels the act as the "Taxpayer Accountability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dba55059e4db1" /></Relationships>
</file>