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baf7bb4594401"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ENGR</w:t>
        </w:r>
      </w:r>
      <w:r>
        <w:rPr>
          <w:b/>
        </w:rPr>
        <w:t xml:space="preserve"> </w:t>
        <w:r>
          <w:rPr/>
          <w:t xml:space="preserve">H4828.E</w:t>
        </w:r>
      </w:r>
      <w:r>
        <w:rPr>
          <w:b/>
        </w:rPr>
        <w:t xml:space="preserve"> - NOT FOR FLOOR USE</w:t>
      </w:r>
    </w:p>
    <w:p>
      <w:pPr>
        <w:ind w:left="0" w:right="0" w:firstLine="576"/>
      </w:pPr>
      <w:r>
        <w:rPr/>
        <w:t xml:space="preserve"> </w:t>
      </w:r>
    </w:p>
    <w:p>
      <w:pPr>
        <w:spacing w:before="480" w:after="0" w:line="408" w:lineRule="exact"/>
      </w:pPr>
      <w:r>
        <w:rPr>
          <w:b/>
          <w:u w:val="single"/>
        </w:rPr>
        <w:t xml:space="preserve">ESSB 6002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Elections &amp; Information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this act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Prior to the adoption of its proposed plan, the political subdivision must provide public notice to residents of the subdivision about the proposed remedy to a potential violation of section 104 of this act.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section 201 of this act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section 201 of this act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section 201(2) of this act,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section 201 of this act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and except in the case of an intervening census,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403 of this act</w:t>
      </w:r>
      <w:r>
        <w:rPr/>
        <w:t xml:space="preserve">, and shall be examined every ten years to determine substantial equality of population in accordance with chapter 29A.76 RCW. Except as provided in this section </w:t>
      </w:r>
      <w:r>
        <w:t>((</w:t>
      </w:r>
      <w:r>
        <w:rPr>
          <w:strike/>
        </w:rPr>
        <w:t xml:space="preserve">or</w:t>
      </w:r>
      <w:r>
        <w:t>))</w:t>
      </w:r>
      <w:r>
        <w:rPr>
          <w:u w:val="single"/>
        </w:rPr>
        <w:t xml:space="preserve">, section 403 of this act,</w:t>
      </w:r>
      <w:r>
        <w:rPr/>
        <w:t xml:space="preserve"> RCW 54.04.039, </w:t>
      </w:r>
      <w:r>
        <w:rPr>
          <w:u w:val="single"/>
        </w:rPr>
        <w:t xml:space="preserve">or in the case of an intervening census,</w:t>
      </w:r>
      <w:r>
        <w:rPr/>
        <w:t xml:space="preserve">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voter who resides in the political subdivision who intends to challenge a political subdivision's electoral system under this act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act,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act are more probative to establish the existence of racially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section 104 of this act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voter who resides in the political subdivision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section 104 of this act.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this act if they demonstrate that the combined voting preferences of the multiple protected classes are polarized against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this act before July 19,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w:t>
      </w:r>
    </w:p>
    <w:p>
      <w:pPr>
        <w:spacing w:before="0" w:after="0" w:line="408" w:lineRule="exact"/>
        <w:ind w:left="0" w:right="0" w:firstLine="576"/>
        <w:jc w:val="left"/>
      </w:pPr>
      <w:r>
        <w:rPr/>
        <w:t xml:space="preserve">(4) Within thirty days of the conclusion of any action filed under section 402 of this act,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In any change to its electoral system under section 201 of this act or preparation of a redistricting plan under section 201 of this act, political subdivisions may use population data regarding political parties only to the extent necessary to ensure compliance with this act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comply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301 through 501, and 503 of this act constitute a new chapter in </w:t>
      </w:r>
      <w:r>
        <w:rPr/>
        <w:t xml:space="preserve">Title </w:t>
      </w:r>
      <w:r>
        <w:t xml:space="preserve">29A</w:t>
      </w:r>
      <w:r>
        <w:rPr/>
        <w:t xml:space="preserve"> RCW</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2a145b57e47f1" /></Relationships>
</file>