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00ae482a84b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RODN</w:t>
        </w:r>
      </w:r>
      <w:r>
        <w:rPr>
          <w:b/>
        </w:rPr>
        <w:t xml:space="preserve"> </w:t>
        <w:r>
          <w:rPr/>
          <w:t xml:space="preserve">H4185.3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Rodne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33 of the amendment, after "subdivision." insert "The person providing notice, as well as any subsequent notice as provided under section 304 of this act, must be a member of the protected class identified in the notice."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person providing notice of a violation to be a member of the identified protected class.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eeb95c51e4061" /></Relationships>
</file>