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185fee51d4f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RODN</w:t>
        </w:r>
      </w:r>
      <w:r>
        <w:rPr>
          <w:b/>
        </w:rPr>
        <w:t xml:space="preserve"> </w:t>
        <w:r>
          <w:rPr/>
          <w:t xml:space="preserve">H4953.1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Rodne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10, after "subdivision." insert "The person providing notice, as well as any subsequent notice as provided under section 304 of this act, must be a member of the protected class identified in the notice."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person providing notice of a violation to be a member of the identified protected class.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ce199017f4e00" /></Relationships>
</file>