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d44db521149c1" /></Relationships>
</file>

<file path=word/document.xml><?xml version="1.0" encoding="utf-8"?>
<w:document xmlns:w="http://schemas.openxmlformats.org/wordprocessingml/2006/main">
  <w:body>
    <w:p>
      <w:r>
        <w:rPr>
          <w:b/>
        </w:rPr>
        <w:r>
          <w:rPr/>
          <w:t xml:space="preserve">6292</w:t>
        </w:r>
      </w:r>
      <w:r>
        <w:rPr>
          <w:b/>
        </w:rPr>
        <w:t xml:space="preserve"> </w:t>
        <w:t xml:space="preserve">AMH</w:t>
      </w:r>
      <w:r>
        <w:rPr>
          <w:b/>
        </w:rPr>
        <w:t xml:space="preserve"> </w:t>
        <w:r>
          <w:rPr/>
          <w:t xml:space="preserve">PS</w:t>
        </w:r>
      </w:r>
      <w:r>
        <w:rPr>
          <w:b/>
        </w:rPr>
        <w:t xml:space="preserve"> </w:t>
        <w:r>
          <w:rPr/>
          <w:t xml:space="preserve">H4868.2</w:t>
        </w:r>
      </w:r>
      <w:r>
        <w:rPr>
          <w:b/>
        </w:rPr>
        <w:t xml:space="preserve"> - NOT FOR FLOOR USE</w:t>
      </w:r>
    </w:p>
    <w:p>
      <w:pPr>
        <w:ind w:left="0" w:right="0" w:firstLine="576"/>
      </w:pPr>
      <w:r>
        <w:rPr/>
        <w:t xml:space="preserve"> </w:t>
      </w:r>
    </w:p>
    <w:p>
      <w:pPr>
        <w:spacing w:before="480" w:after="0" w:line="408" w:lineRule="exact"/>
      </w:pPr>
      <w:r>
        <w:rPr>
          <w:b/>
          <w:u w:val="single"/>
        </w:rPr>
        <w:t xml:space="preserve">SB 6292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2015 c 287 s 9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t>((</w:t>
      </w:r>
      <w:r>
        <w:rPr>
          <w:strike/>
        </w:rPr>
        <w:t xml:space="preserve">as defined in RCW 9.94A.030</w:t>
      </w:r>
      <w:r>
        <w:t>))</w:t>
      </w:r>
      <w:r>
        <w:rPr>
          <w:u w:val="single"/>
        </w:rPr>
        <w:t xml:space="preserve">, which may include real-time global positioning system monitoring with victim notification</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0" w:after="0" w:line="408" w:lineRule="exact"/>
        <w:ind w:left="0" w:right="0" w:firstLine="576"/>
        <w:jc w:val="left"/>
      </w:pPr>
      <w:r>
        <w:rPr>
          <w:u w:val="single"/>
        </w:rPr>
        <w:t xml:space="preserve">(8) The state and its employees and local governments and their subdivisions and employees are immune from civil liability for damages arising from incidents involving persons who are placed on electronic monitoring under this section, except upon a showing of gross negligence or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has the same meaning as in RCW 9.94A.030.</w:t>
      </w:r>
    </w:p>
    <w:p>
      <w:pPr>
        <w:spacing w:before="0" w:after="0" w:line="408" w:lineRule="exact"/>
        <w:ind w:left="0" w:right="0" w:firstLine="576"/>
        <w:jc w:val="left"/>
      </w:pPr>
      <w:r>
        <w:rPr>
          <w:u w:val="single"/>
        </w:rPr>
        <w:t xml:space="preserve">(4)</w:t>
      </w:r>
      <w:r>
        <w:rPr/>
        <w:t xml:space="preserve">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2010 c 274 s 304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w:t>
      </w:r>
      <w:r>
        <w:rPr>
          <w:u w:val="single"/>
        </w:rPr>
        <w:t xml:space="preserve">, which may include real-time global positioning system monitoring with victim notification</w:t>
      </w:r>
      <w:r>
        <w:rPr/>
        <w:t xml:space="preserve">.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0" w:after="0" w:line="408" w:lineRule="exact"/>
        <w:ind w:left="0" w:right="0" w:firstLine="576"/>
        <w:jc w:val="left"/>
      </w:pPr>
      <w:r>
        <w:rPr>
          <w:u w:val="single"/>
        </w:rPr>
        <w:t xml:space="preserve">(8) The state and its employees and local governments and their subdivisions and employees are immune from civil liability for damages arising from incidents involving persons who are placed on electronic monitoring under this section, except upon a showing of gross negligence or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purpose, the administrative office of the courts must provide funding to counties to cover the cost of electronic monitoring with victim notification technology when a respondent is unable to pay for the cost of electronic monitoring."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provisions that: (a) Apply the Sentencing Reform Act definition of electronic monitoring to the chapter of the RCW addressing criminal proceedings involving domestic violence; (b) require, subject to appropriated funding, that the Administrative Office of the Courts provide funding to counties for electronic monitoring in cases in which the defendant is unable to pay; and (c) limit civil liability for governmental entities for damages arising from incidents involving persons who are placed on electronic monitoring as a condition of a domestic violence protection order or domestic violence no-contact order.</w:t>
      </w:r>
    </w:p>
    <w:p>
      <w:pPr>
        <w:spacing w:before="0" w:after="0" w:line="408" w:lineRule="exact"/>
        <w:ind w:left="0" w:right="0" w:firstLine="576"/>
        <w:jc w:val="left"/>
      </w:pPr>
      <w:r>
        <w:rPr/>
        <w:t xml:space="preserve">(2) Provides that electronic monitoring imposed as a condition of a domestic violence protection order or domestic violence no-contact order may include monitoring with real-time global positioning system monitoring with victim notification.</w:t>
      </w:r>
    </w:p>
    <w:p>
      <w:pPr>
        <w:spacing w:before="0" w:after="0" w:line="408" w:lineRule="exact"/>
        <w:ind w:left="0" w:right="0" w:firstLine="576"/>
        <w:jc w:val="left"/>
      </w:pPr>
      <w:r>
        <w:rPr/>
        <w:t xml:space="preserve">(3) Removes all other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cf31ecb9a4ba9" /></Relationships>
</file>