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71209a62f46c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1209-S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S5856.1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1209</w:t>
      </w:r>
      <w:r>
        <w:t xml:space="preserve"> -</w:t>
      </w:r>
      <w:r>
        <w:t xml:space="preserve"> </w:t>
        <w:t xml:space="preserve">S AMD TO FI COMM AMD (S-4536.2)</w:t>
      </w:r>
      <w:r>
        <w:t xml:space="preserve"> </w:t>
      </w:r>
      <w:r>
        <w:rPr>
          <w:b/>
        </w:rPr>
        <w:t xml:space="preserve">829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03/02/2018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23 of the amendment, after "</w:t>
      </w:r>
      <w:r>
        <w:rPr>
          <w:u w:val="single"/>
        </w:rPr>
        <w:t xml:space="preserve">less</w:t>
      </w:r>
      <w:r>
        <w:rPr/>
        <w:t xml:space="preserve">" insert "</w:t>
      </w:r>
      <w:r>
        <w:rPr>
          <w:u w:val="single"/>
        </w:rPr>
        <w:t xml:space="preserve">, and the public funds depositor also has a physical presence in the same taxing district as the credit union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public funds depositor to be located in the same taxing district as the credit union for public deposits exceeding maximum insured amounts.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10356e2314df7" /></Relationships>
</file>