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39f2501fb493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1506-S2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S4612.1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WITHDRAWN 03/01/2018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24,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10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city, code city, town, county, or political subdivision may not enact a charter, ordinance, regulation, rule, or resolution: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Creating a gender pay equity program that alters or amends the requirements of this chapter for any private employer;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Providing for local enforcement of the provisions of this chapter;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Requiring private employers to supplement the requirements or benefits provided under this chapter."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1, after "through" strike "11" and insert "12"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preemption for local governments from enacting gender pay equity programs for private employers.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cd595bc2e45b8" /></Relationships>
</file>