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dd533e7744abd" /></Relationships>
</file>

<file path=word/document.xml><?xml version="1.0" encoding="utf-8"?>
<w:document xmlns:w="http://schemas.openxmlformats.org/wordprocessingml/2006/main">
  <w:body>
    <w:p>
      <w:r>
        <w:rPr>
          <w:b/>
        </w:rPr>
        <w:r>
          <w:rPr/>
          <w:t xml:space="preserve">1819-S2.E</w:t>
        </w:r>
      </w:r>
      <w:r>
        <w:rPr>
          <w:b/>
        </w:rPr>
        <w:t xml:space="preserve"> </w:t>
        <w:t xml:space="preserve">AMS</w:t>
      </w:r>
      <w:r>
        <w:rPr>
          <w:b/>
        </w:rPr>
        <w:t xml:space="preserve"> </w:t>
        <w:r>
          <w:rPr/>
          <w:t xml:space="preserve">WM</w:t>
        </w:r>
      </w:r>
      <w:r>
        <w:rPr>
          <w:b/>
        </w:rPr>
        <w:t xml:space="preserve"> </w:t>
        <w:r>
          <w:rPr/>
          <w:t xml:space="preserve">S2472.1</w:t>
        </w:r>
      </w:r>
      <w:r>
        <w:rPr>
          <w:b/>
        </w:rPr>
        <w:t xml:space="preserve"> - NOT FOR FLOOR USE</w:t>
      </w:r>
    </w:p>
    <w:p>
      <w:pPr>
        <w:ind w:left="0" w:right="0" w:firstLine="576"/>
      </w:pPr>
      <w:r>
        <w:rPr/>
        <w:t xml:space="preserve"> </w:t>
      </w:r>
    </w:p>
    <w:p>
      <w:pPr>
        <w:spacing w:before="480" w:after="0" w:line="408" w:lineRule="exact"/>
      </w:pPr>
      <w:r>
        <w:rPr>
          <w:b/>
          <w:u w:val="single"/>
        </w:rPr>
        <w:t xml:space="preserve">E2SHB 1819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 legislature also finds that current state regulations are often duplicative or conflicting with research-based models and other state-mandated treatment models intended to improve the quality of services and ensure positive outcomes.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 and to encourage the use of effective treatment models to improve the quality of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immediately perform a review of its rules, policies, and procedures related to the documentation requirements for behavioral health services.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immediately perform a review of its rules, policies, and procedures related to the documentation requirements for behavioral health services. Rules adopted by the health care authority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health care authority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health care authority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health care authority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health care authority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social and health services must immediately perform a review of casework documentation and paperwork requirements for social service specialists and other direct service staff with the children's administration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480" w:after="0" w:line="408" w:lineRule="exact"/>
      </w:pPr>
      <w:r>
        <w:rPr>
          <w:b/>
          <w:u w:val="single"/>
        </w:rPr>
        <w:t xml:space="preserve">E2SHB 1819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04/05/2017</w:t>
      </w:r>
    </w:p>
    <w:p>
      <w:pPr>
        <w:spacing w:before="0" w:after="0" w:line="408" w:lineRule="exact"/>
        <w:ind w:left="0" w:right="0" w:firstLine="576"/>
        <w:jc w:val="left"/>
      </w:pPr>
      <w:r>
        <w:rPr/>
        <w:t xml:space="preserve">On page 1, line 3 of the title, after "families;" strike the remainder of the title and insert "adding new sections to chapter 71.24 RCW; creating new sections; providing contingent effective dates; and providing an expiration date."</w:t>
      </w:r>
    </w:p>
    <w:p>
      <w:pPr>
        <w:spacing w:before="0" w:after="0" w:line="408" w:lineRule="exact"/>
        <w:ind w:left="0" w:right="0" w:firstLine="576"/>
        <w:jc w:val="left"/>
      </w:pPr>
      <w:r>
        <w:rPr>
          <w:u w:val="single"/>
        </w:rPr>
        <w:t xml:space="preserve">EFFECT:</w:t>
      </w:r>
      <w:r>
        <w:rPr/>
        <w:t xml:space="preserve"> The date by which DSHS must amend its rules to provide a single set of regulations for agencies that provide mental health, substance use disorder, and co-occurring disorder treatment is extended by two months to April 1, 2018. Technical amendments provide for the Health Care Authority to assume the duties prescribed in the legislation if SHB 1388 or SSB 5259 are signed into law by the Governor.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26df1af6d422d" /></Relationships>
</file>