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d740edb324957" /></Relationships>
</file>

<file path=word/document.xml><?xml version="1.0" encoding="utf-8"?>
<w:document xmlns:w="http://schemas.openxmlformats.org/wordprocessingml/2006/main">
  <w:body>
    <w:p>
      <w:r>
        <w:rPr>
          <w:b/>
        </w:rPr>
        <w:r>
          <w:rPr/>
          <w:t xml:space="preserve">2008.E</w:t>
        </w:r>
      </w:r>
      <w:r>
        <w:rPr>
          <w:b/>
        </w:rPr>
        <w:t xml:space="preserve"> </w:t>
        <w:t xml:space="preserve">AMS</w:t>
      </w:r>
      <w:r>
        <w:rPr>
          <w:b/>
        </w:rPr>
        <w:t xml:space="preserve"> </w:t>
        <w:r>
          <w:rPr/>
          <w:t xml:space="preserve">WM</w:t>
        </w:r>
      </w:r>
      <w:r>
        <w:rPr>
          <w:b/>
        </w:rPr>
        <w:t xml:space="preserve"> </w:t>
        <w:r>
          <w:rPr/>
          <w:t xml:space="preserve">S5720.1</w:t>
        </w:r>
      </w:r>
      <w:r>
        <w:rPr>
          <w:b/>
        </w:rPr>
        <w:t xml:space="preserve"> - NOT FOR FLOOR USE</w:t>
      </w:r>
    </w:p>
    <w:p>
      <w:pPr>
        <w:ind w:left="0" w:right="0" w:firstLine="576"/>
      </w:pPr>
      <w:r>
        <w:rPr/>
        <w:t xml:space="preserve"> </w:t>
      </w:r>
    </w:p>
    <w:p>
      <w:pPr>
        <w:spacing w:before="480" w:after="0" w:line="408" w:lineRule="exact"/>
      </w:pPr>
      <w:r>
        <w:rPr>
          <w:b/>
          <w:u w:val="single"/>
        </w:rPr>
        <w:t xml:space="preserve">EHB 2008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planning for and implementation of core state services for children requires predictability and stability in the budgeting process for these services. For these reasons, the legislature intends that costs for behavioral rehabilitation services be included in the state budgeting process at maintenance level. By implementing consistent statewide assessments, forecasting program caseloads, and incorporating forecast-based program costs into the maintenance level budget, the state can ensure predictable funding levels for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 and families services program of the department of social and health services through June 30, 2018, and of the department of children, youth, and families effective July 1, 2018, shall facilitate a stakeholder work group in a collaborative effort to design a behavioral rehabilitation services rate payment methodology that is based on actual provider costs of care. The work group may consider the findings of a contracted rate analysis in designing the methodology. By November 30, 2018, and in compliance with RCW 43.01.036, the department of children, youth, and families must submit a report with the final work group findings to the appropriate legislative committees.</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office of innovation, alignment, and accountability must develop a single validated tool to assess the care needs of foster children. Once the validated tool is available for use on a statewide basis, the department of children, youth, and families must use the tool for assessing the care needs of foster children, including but not limited to whether the department should provide foster children with behavioral rehabilitation services. The department must notify the caseload forecast council, the office of financial management, and the appropriate fiscal committees of the legislature when it begins statewide use of the validated tool.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u w:val="single"/>
        </w:rPr>
        <w:t xml:space="preserve">(11)</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expenditures for behavioral rehabilitation services placements must be forecasted and budgeted as maintenance level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as part of its budget request submittal for the 2019-2021 biennial operating budget, conduct of a review of the most recent caseload forecast of children in foster care and the availability and capacity of licensed foster homes. The review shall include:</w:t>
      </w:r>
    </w:p>
    <w:p>
      <w:pPr>
        <w:spacing w:before="0" w:after="0" w:line="408" w:lineRule="exact"/>
        <w:ind w:left="0" w:right="0" w:firstLine="576"/>
        <w:jc w:val="left"/>
      </w:pPr>
      <w:r>
        <w:rPr/>
        <w:t xml:space="preserve">(a) An analysis of the need for licensed foster homes;</w:t>
      </w:r>
    </w:p>
    <w:p>
      <w:pPr>
        <w:spacing w:before="0" w:after="0" w:line="408" w:lineRule="exact"/>
        <w:ind w:left="0" w:right="0" w:firstLine="576"/>
        <w:jc w:val="left"/>
      </w:pPr>
      <w:r>
        <w:rPr/>
        <w:t xml:space="preserve">(b) A listing of support resources available for parents in licensed foster homes; and</w:t>
      </w:r>
    </w:p>
    <w:p>
      <w:pPr>
        <w:spacing w:before="0" w:after="0" w:line="408" w:lineRule="exact"/>
        <w:ind w:left="0" w:right="0" w:firstLine="576"/>
        <w:jc w:val="left"/>
      </w:pPr>
      <w:r>
        <w:rPr/>
        <w:t xml:space="preserve">(c) A review of department policies that affect the recruitment and retention of licensed foster homes.</w:t>
      </w:r>
    </w:p>
    <w:p>
      <w:pPr>
        <w:spacing w:before="0" w:after="0" w:line="408" w:lineRule="exact"/>
        <w:ind w:left="0" w:right="0" w:firstLine="576"/>
        <w:jc w:val="left"/>
      </w:pPr>
      <w:r>
        <w:rPr/>
        <w:t xml:space="preserve">A report containing the results of the review shall be submitted to the office of financial management and appropriated committees of the legislature no later than October 1, 2018.</w:t>
      </w:r>
    </w:p>
    <w:p>
      <w:pPr>
        <w:spacing w:before="0" w:after="0" w:line="408" w:lineRule="exact"/>
        <w:ind w:left="0" w:right="0" w:firstLine="576"/>
        <w:jc w:val="left"/>
      </w:pPr>
      <w:r>
        <w:rPr/>
        <w:t xml:space="preserve">(2) This section expires October 1, 2018."</w:t>
      </w:r>
    </w:p>
    <w:p>
      <w:pPr>
        <w:spacing w:before="480" w:after="0" w:line="408" w:lineRule="exact"/>
      </w:pPr>
      <w:r>
        <w:rPr>
          <w:b/>
          <w:u w:val="single"/>
        </w:rPr>
        <w:t xml:space="preserve">EHB 2008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02/28/2018</w:t>
      </w:r>
    </w:p>
    <w:p>
      <w:pPr>
        <w:spacing w:before="0" w:after="0" w:line="408" w:lineRule="exact"/>
        <w:ind w:left="0" w:right="0" w:firstLine="576"/>
        <w:jc w:val="left"/>
      </w:pPr>
      <w:r>
        <w:rPr/>
        <w:t xml:space="preserve">On page 1, line 2 of the title, after "children;" strike the remainder of the title and insert "amending RCW 43.88C.010; adding a new section to chapter 74.13 RCW; adding a new section to chapter 43.88 RCW; creating new sections; and providing expiration dates."</w:t>
      </w:r>
    </w:p>
    <w:p>
      <w:pPr>
        <w:spacing w:before="0" w:after="0" w:line="408" w:lineRule="exact"/>
        <w:ind w:left="0" w:right="0" w:firstLine="576"/>
        <w:jc w:val="left"/>
      </w:pPr>
      <w:r>
        <w:rPr>
          <w:u w:val="single"/>
        </w:rPr>
        <w:t xml:space="preserve">EFFECT:</w:t>
      </w:r>
      <w:r>
        <w:rPr/>
        <w:t xml:space="preserve"> (1) Requires the Department of Children, Youth, and Families (DCYF) to facilitate a work group to design a rate payment methodology for behavioral rehabilitation services (BRS) that is based on actual costs of care. The work group must report their findings to the Legislature by November 1, 2018.</w:t>
      </w:r>
    </w:p>
    <w:p>
      <w:pPr>
        <w:spacing w:before="0" w:after="0" w:line="408" w:lineRule="exact"/>
        <w:ind w:left="0" w:right="0" w:firstLine="576"/>
        <w:jc w:val="left"/>
      </w:pPr>
      <w:r>
        <w:rPr/>
        <w:t xml:space="preserve">(2) Requires  the Office of Innovation, Alignment, and Accountability to develop a single validated tool for the DCYF to use to assess the care needs of foster children, including whether BRS should be provided.</w:t>
      </w:r>
    </w:p>
    <w:p>
      <w:pPr>
        <w:spacing w:before="0" w:after="0" w:line="408" w:lineRule="exact"/>
        <w:ind w:left="0" w:right="0" w:firstLine="576"/>
        <w:jc w:val="left"/>
      </w:pPr>
      <w:r>
        <w:rPr/>
        <w:t xml:space="preserve">(3) Requires the Caseload Forecast Council (CFC) to forecast the number of youth expected to receive BRS and the number of screened in reports of abuse or neglect.</w:t>
      </w:r>
    </w:p>
    <w:p>
      <w:pPr>
        <w:spacing w:before="0" w:after="0" w:line="408" w:lineRule="exact"/>
        <w:ind w:left="0" w:right="0" w:firstLine="576"/>
        <w:jc w:val="left"/>
      </w:pPr>
      <w:r>
        <w:rPr/>
        <w:t xml:space="preserve">(4) Requires expenditures for BRS to be forecasted and budgeted as maintenance level costs.</w:t>
      </w:r>
    </w:p>
    <w:p>
      <w:pPr>
        <w:spacing w:before="0" w:after="0" w:line="408" w:lineRule="exact"/>
        <w:ind w:left="0" w:right="0" w:firstLine="576"/>
        <w:jc w:val="left"/>
      </w:pPr>
      <w:r>
        <w:rPr/>
        <w:t xml:space="preserve">(5) Requires the DCYF to review the availability and capacity of licensed foster homes in comparison to the foster care caseload and submit the review as part of the 2019-2021 budget submittal.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375964e3f4e0b" /></Relationships>
</file>