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5389ea4884c6d"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S5476.1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800</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Beginning on page 1, at the beginning of line 3 of the amendment, strike all material through "organization." on page 8, line 30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commission must establish a task force to examine the liability for automatic payroll deductions for the payment of dues or fees to an exclusive bargaining representative, the nature of the exclusive bargaining representatives receiving the payroll deductions, and the relationship between automatic payroll deductions for the payment of dues or fees to an exclusive bargaining representative and the civil rights of the employees.</w:t>
      </w:r>
    </w:p>
    <w:p>
      <w:pPr>
        <w:spacing w:before="0" w:after="0" w:line="408" w:lineRule="exact"/>
        <w:ind w:left="0" w:right="0" w:firstLine="576"/>
        <w:jc w:val="left"/>
      </w:pPr>
      <w:r>
        <w:rPr/>
        <w:t xml:space="preserve">(2) To the extent practicable, the task force must include:</w:t>
      </w:r>
    </w:p>
    <w:p>
      <w:pPr>
        <w:spacing w:before="0" w:after="0" w:line="408" w:lineRule="exact"/>
        <w:ind w:left="0" w:right="0" w:firstLine="576"/>
        <w:jc w:val="left"/>
      </w:pPr>
      <w:r>
        <w:rPr/>
        <w:t xml:space="preserve">(a) A representative from the commission;</w:t>
      </w:r>
    </w:p>
    <w:p>
      <w:pPr>
        <w:spacing w:before="0" w:after="0" w:line="408" w:lineRule="exact"/>
        <w:ind w:left="0" w:right="0" w:firstLine="576"/>
        <w:jc w:val="left"/>
      </w:pPr>
      <w:r>
        <w:rPr/>
        <w:t xml:space="preserve">(b) A representative from labor organizations;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A representative from the office of the attorney general;</w:t>
      </w:r>
    </w:p>
    <w:p>
      <w:pPr>
        <w:spacing w:before="0" w:after="0" w:line="408" w:lineRule="exact"/>
        <w:ind w:left="0" w:right="0" w:firstLine="576"/>
        <w:jc w:val="left"/>
      </w:pPr>
      <w:r>
        <w:rPr/>
        <w:t xml:space="preserve">(e) A representative from a nonprofit organization whose primary purpose is to advance individual liberty and to promote government accountability; and</w:t>
      </w:r>
    </w:p>
    <w:p>
      <w:pPr>
        <w:spacing w:before="0" w:after="0" w:line="408" w:lineRule="exact"/>
        <w:ind w:left="0" w:right="0" w:firstLine="576"/>
        <w:jc w:val="left"/>
      </w:pPr>
      <w:r>
        <w:rPr/>
        <w:t xml:space="preserve">(f) Any other subject matter experts the commission deems necessary."</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800</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On page 8, line 32 of the title amendment, after "insert" strike the remainder of the title amendment and insert "and adding a new section to chapter 41.58 RCW."</w:t>
      </w:r>
    </w:p>
    <w:p>
      <w:pPr>
        <w:spacing w:before="0" w:after="0" w:line="408" w:lineRule="exact"/>
        <w:ind w:left="0" w:right="0" w:firstLine="576"/>
        <w:jc w:val="left"/>
      </w:pPr>
      <w:r>
        <w:rPr>
          <w:u w:val="single"/>
        </w:rPr>
        <w:t xml:space="preserve">EFFECT:</w:t>
      </w:r>
      <w:r>
        <w:rPr/>
        <w:t xml:space="preserve"> Replaces the provisions of the bill with a task force organized by the Public Employment Relations Commission to examine the liability for automatic payroll deductions for the payment of dues or fees to an exclusive bargaining representative, the nature of the exclusive bargaining representatives receiving the payroll deductions, and the relationship between automatic payroll deductions and the civil rights of the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423d9b690d4155" /></Relationships>
</file>