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bcce5cd234a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5254-S2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S2484.1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53, line 37, strike all of sections 38 and 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5254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title, strike "43.21C.440, 43.21C.229, and 82.14.530" and insert "and 43.21C.440"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sections amending the state environmental policy act with respect to infill development and environmental impact statements.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02d7bca9b4f10" /></Relationships>
</file>