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cb3cc8d2841c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5307-S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DARN</w:t>
        </w:r>
      </w:r>
      <w:r>
        <w:rPr>
          <w:b/>
        </w:rPr>
        <w:t xml:space="preserve"> </w:t>
        <w:r>
          <w:rPr/>
          <w:t xml:space="preserve">S5104.1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5307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  <w:r>
        <w:rPr>
          <w:b/>
        </w:rPr>
        <w:t xml:space="preserve">ADOPTED AS AMENDED 02/09/2018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20, strike all material through "(e)" on line 31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"(b) The </w:t>
      </w:r>
      <w:r>
        <w:t>((</w:t>
      </w:r>
      <w:r>
        <w:rPr>
          <w:strike/>
        </w:rPr>
        <w:t xml:space="preserve">offender has no prior or current conviction for a felony that is</w:t>
      </w:r>
      <w:r>
        <w:t>))</w:t>
      </w:r>
      <w:r>
        <w:rPr/>
        <w:t xml:space="preserve"> </w:t>
      </w:r>
      <w:r>
        <w:rPr>
          <w:u w:val="single"/>
        </w:rPr>
        <w:t xml:space="preserve">offender's current offense is either: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A nonviolent offense;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A</w:t>
      </w:r>
      <w:r>
        <w:rPr/>
        <w:t xml:space="preserve"> sex offense or a violent offense</w:t>
      </w:r>
      <w:r>
        <w:rPr>
          <w:u w:val="single"/>
        </w:rPr>
        <w:t xml:space="preserve">, and the offender is assessed at a low or moderate risk to reoffend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</w:t>
      </w:r>
      <w:r>
        <w:t>((</w:t>
      </w:r>
      <w:r>
        <w:rPr>
          <w:strike/>
        </w:rPr>
        <w:t xml:space="preserve">The offender has not been found by the United States attorney general to be subject to a deportation detainer or order and does not become subject to a deportation order during the period of the sentence;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(d)</w:t>
      </w:r>
      <w:r>
        <w:t>))</w:t>
      </w:r>
      <w:r>
        <w:rPr/>
        <w:t xml:space="preserve"> The offender signs any release of information waivers required to allow information regarding current or prior child welfare cases to be shared with the department and the court;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(e)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to satisfy the offense criteria for participation in the parenting sentencing alternative, the offender's current offense must be a nonviolent offense or, if the current offense is a sex or violent offense, the offender must be assessed at a low or moderate risk to reoffend.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4acea0e3b45e4" /></Relationships>
</file>