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cb8d6d80b4a8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S1806.1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PULLED 03/02/2017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</w:t>
      </w:r>
      <w:r>
        <w:rPr>
          <w:u w:val="single"/>
        </w:rPr>
        <w:t xml:space="preserve">schools.</w:t>
      </w:r>
      <w:r>
        <w:rPr/>
        <w:t xml:space="preserve">" insert "</w:t>
      </w:r>
      <w:r>
        <w:rPr>
          <w:u w:val="single"/>
        </w:rPr>
        <w:t xml:space="preserve">The model policy and procedures must contain provisions requiring that media literacy materials be unbiased and content neutral.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6, after "year." insert "The web-based location must incorporate the information gathered by the survey in section 3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Media literacy materials must be unbiased and content neutral."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that media literacy materials must be unbiased and content neutral.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Requires that the web-based location incorporate information gathered in the survey of teacher-librarians, principals, and technology directors.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452b7c03a4d6d" /></Relationships>
</file>