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cbdb6c2194f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S1941.1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13, after "</w:t>
      </w:r>
      <w:r>
        <w:rPr>
          <w:u w:val="single"/>
        </w:rPr>
        <w:t xml:space="preserve">representatives</w:t>
      </w:r>
      <w:r>
        <w:rPr/>
        <w:t xml:space="preserve">" insert "</w:t>
      </w:r>
      <w:r>
        <w:rPr>
          <w:u w:val="single"/>
        </w:rPr>
        <w:t xml:space="preserve">, or any corporate or nonprofit entity that does business with the state, has tax preferences pending before the legislature, or receives a tax preference under current law,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22, after "</w:t>
      </w:r>
      <w:r>
        <w:rPr>
          <w:u w:val="single"/>
        </w:rPr>
        <w:t xml:space="preserve">representative</w:t>
      </w:r>
      <w:r>
        <w:rPr/>
        <w:t xml:space="preserve">" insert "</w:t>
      </w:r>
      <w:r>
        <w:rPr>
          <w:u w:val="single"/>
        </w:rPr>
        <w:t xml:space="preserve">, or any corporate or nonprofit entity that does business with the state, has tax preferences pending before the legislature, or receives a tax preference under current law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the same prohibition on unions to corporations and nonprofits.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0643b7420415c" /></Relationships>
</file>