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53205e99d41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S2037.1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RULED BEYOND SCOPE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14, after "</w:t>
      </w:r>
      <w:r>
        <w:rPr>
          <w:u w:val="single"/>
        </w:rPr>
        <w:t xml:space="preserve">governor</w:t>
      </w:r>
      <w:r>
        <w:rPr/>
        <w:t xml:space="preserve">" insert "</w:t>
      </w:r>
      <w:r>
        <w:rPr>
          <w:u w:val="single"/>
        </w:rPr>
        <w:t xml:space="preserve">or any other office in the line of succession under Article III, section 10 of the state Constitution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19, after "</w:t>
      </w:r>
      <w:r>
        <w:rPr>
          <w:u w:val="single"/>
        </w:rPr>
        <w:t xml:space="preserve">governor</w:t>
      </w:r>
      <w:r>
        <w:rPr/>
        <w:t xml:space="preserve">" insert "</w:t>
      </w:r>
      <w:r>
        <w:rPr>
          <w:u w:val="single"/>
        </w:rPr>
        <w:t xml:space="preserve">or any other office in the line of succession under Article III, section 10 of the state Constitution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RULED BEYOND SCOPE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"for" strike "gubernatorial" and insert "certain statewide"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campaign contributions or independent expenditures by entities collectively bargaining with the Governor to candidates for any office in the line of gubernatorial succession.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172fa24b442b6" /></Relationships>
</file>