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5c99b180544c8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5533-S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RANK</w:t>
        </w:r>
      </w:r>
      <w:r>
        <w:rPr>
          <w:b/>
        </w:rPr>
        <w:t xml:space="preserve"> </w:t>
        <w:r>
          <w:rPr/>
          <w:t xml:space="preserve">S1959.1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5533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Ranker</w:t>
      </w:r>
    </w:p>
    <w:p>
      <w:pPr>
        <w:jc w:val="right"/>
      </w:pPr>
      <w:r>
        <w:rPr>
          <w:b/>
        </w:rPr>
        <w:t xml:space="preserve">RULED BEYOND SCOPE 03/07/2017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line 14, after "</w:t>
      </w:r>
      <w:r>
        <w:rPr>
          <w:u w:val="single"/>
        </w:rPr>
        <w:t xml:space="preserve">governor</w:t>
      </w:r>
      <w:r>
        <w:rPr/>
        <w:t xml:space="preserve">" insert "</w:t>
      </w:r>
      <w:r>
        <w:rPr>
          <w:u w:val="single"/>
        </w:rPr>
        <w:t xml:space="preserve">, state office, or legislative office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line 18, after "</w:t>
      </w:r>
      <w:r>
        <w:rPr>
          <w:u w:val="single"/>
        </w:rPr>
        <w:t xml:space="preserve">governor</w:t>
      </w:r>
      <w:r>
        <w:rPr/>
        <w:t xml:space="preserve">" insert "</w:t>
      </w:r>
      <w:r>
        <w:rPr>
          <w:u w:val="single"/>
        </w:rPr>
        <w:t xml:space="preserve">, state office, or legislative office,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line 19, after "</w:t>
      </w:r>
      <w:r>
        <w:rPr>
          <w:u w:val="single"/>
        </w:rPr>
        <w:t xml:space="preserve">governor</w:t>
      </w:r>
      <w:r>
        <w:rPr/>
        <w:t xml:space="preserve">" insert "</w:t>
      </w:r>
      <w:r>
        <w:rPr>
          <w:u w:val="single"/>
        </w:rPr>
        <w:t xml:space="preserve">, state office, or legislative office</w:t>
      </w:r>
      <w:r>
        <w:rPr/>
        <w:t xml:space="preserve">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5533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Ranker</w:t>
      </w:r>
    </w:p>
    <w:p>
      <w:pPr>
        <w:jc w:val="right"/>
      </w:pPr>
      <w:r>
        <w:rPr>
          <w:b/>
        </w:rPr>
        <w:t xml:space="preserve">RULED BEYOND SCOPE 03/07/2017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strike "gubernatorial"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Expands the prohibition for union campaign contributions to candidates for the office of the governor to candidates for state or legislative office; and expands the limited prohibition on political committees' independent expenditures or campaign contributions to candidates for the office of governor to candidates for state or legislative office.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8a40e41c834bad" /></Relationships>
</file>