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26cd8db49428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5651-S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PALU</w:t>
        </w:r>
      </w:r>
      <w:r>
        <w:rPr>
          <w:b/>
        </w:rPr>
        <w:t xml:space="preserve"> </w:t>
        <w:r>
          <w:rPr/>
          <w:t xml:space="preserve">S1828.2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Palumbo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12,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"(5) This section does not apply to counties located west of the crest of the Cascade mountains with a population between seven hundred forty thousand and eight hundred forty thousand and more than two million."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11,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This section does not apply to counties located west of the crest of the Cascade mountains with a population between seven hundred forty thousand and eight hundred forty thousand and more than two million."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counties with a population between 740,000 and 840,000 and more than two million from provisions that allow schools to be sited outside an urban growth area when certain requirements are met.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b832f00a3468a" /></Relationships>
</file>