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a2d3690e14ff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5651-S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S2040.1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12,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"(5) A school district that chooses to site a school project outside an urban growth area may not collect or impose impact fees pursuant to RCW 82.02.050."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3, after "must" strike "only"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4, after "project" insert "and where applicants request and meet either of the following requirements: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property is the same distance to the public facility or utility extension that a property within the urban growth area would be required by local or state ordinance to hook up to the public facility or utility;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property is directly adjacent to the public facility or utility extension"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States that a school district that chooses to site a school project outside an urban growth area may not collect or impose impact fees.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Eliminates the limitation that a public facility that is extended beyond the urban growth area must only be available to and serve the school project.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States that a public facility that is extended beyond the urban growth area must be available to and serve applicants who request and meet either of the following requirements: (a) The property is the same distance to the public facility or utility extension that a property within the urban growth area would be required by local or state ordinance to hook up to the public facility or utility; or (b) the property is directly adjacent to the public facility or utility extension.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985e650be46bf" /></Relationships>
</file>