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02673998d43e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S2318.1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03/23/2017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30, after "</w:t>
      </w:r>
      <w:r>
        <w:rPr>
          <w:u w:val="single"/>
        </w:rPr>
        <w:t xml:space="preserve">2018</w:t>
      </w:r>
      <w:r>
        <w:rPr/>
        <w:t xml:space="preserve">" insert "</w:t>
      </w:r>
      <w:r>
        <w:rPr>
          <w:u w:val="single"/>
        </w:rPr>
        <w:t xml:space="preserve">that are attributable to the 2018-19 school year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12, strike all material through "2027." and insert "</w:t>
      </w:r>
      <w:r>
        <w:t>((</w:t>
      </w:r>
      <w:r>
        <w:rPr>
          <w:strike/>
        </w:rPr>
        <w:t xml:space="preserve">(10) This section expires July 1, 2027.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only the portion of calendar year 2018 local M&amp;O levies attributable to SY 2018-19 are included in the $12,500 minimum per pupil calculation for the 2018-19 school year. Eliminates the expiration date for the local taxing district reimbursement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359dcbcd549b3" /></Relationships>
</file>