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eacc156d84bdc" /></Relationships>
</file>

<file path=word/document.xml><?xml version="1.0" encoding="utf-8"?>
<w:document xmlns:w="http://schemas.openxmlformats.org/wordprocessingml/2006/main">
  <w:body>
    <w:p>
      <w:r>
        <w:rPr>
          <w:b/>
        </w:rPr>
        <w:r>
          <w:rPr/>
          <w:t xml:space="preserve">6032-S</w:t>
        </w:r>
      </w:r>
      <w:r>
        <w:rPr>
          <w:b/>
        </w:rPr>
        <w:t xml:space="preserve"> </w:t>
        <w:t xml:space="preserve">AMS</w:t>
      </w:r>
      <w:r>
        <w:rPr>
          <w:b/>
        </w:rPr>
        <w:t xml:space="preserve"> </w:t>
        <w:r>
          <w:rPr/>
          <w:t xml:space="preserve">DARN</w:t>
        </w:r>
      </w:r>
      <w:r>
        <w:rPr>
          <w:b/>
        </w:rPr>
        <w:t xml:space="preserve"> </w:t>
        <w:r>
          <w:rPr/>
          <w:t xml:space="preserve">S5645.1</w:t>
        </w:r>
      </w:r>
      <w:r>
        <w:rPr>
          <w:b/>
        </w:rPr>
        <w:t xml:space="preserve"> - NOT FOR FLOOR USE</w:t>
      </w:r>
    </w:p>
    <w:p>
      <w:pPr>
        <w:ind w:left="0" w:right="0" w:firstLine="576"/>
      </w:pPr>
    </w:p>
    <w:p>
      <w:pPr>
        <w:spacing w:before="480" w:after="0" w:line="408" w:lineRule="exact"/>
      </w:pPr>
      <w:r>
        <w:rPr>
          <w:b/>
          <w:u w:val="single"/>
        </w:rPr>
        <w:t xml:space="preserve">SSB 6032</w:t>
      </w:r>
      <w:r>
        <w:t xml:space="preserve"> -</w:t>
      </w:r>
      <w:r>
        <w:t xml:space="preserve"> </w:t>
        <w:t xml:space="preserve">S AMD</w:t>
      </w:r>
      <w:r>
        <w:t xml:space="preserve"> </w:t>
      </w:r>
      <w:r>
        <w:rPr>
          <w:b/>
        </w:rPr>
        <w:t xml:space="preserve">708</w:t>
      </w:r>
    </w:p>
    <w:p>
      <w:pPr>
        <w:spacing w:before="0" w:after="0" w:line="408" w:lineRule="exact"/>
        <w:ind w:left="0" w:right="0" w:firstLine="576"/>
        <w:jc w:val="left"/>
      </w:pPr>
      <w:r>
        <w:rPr/>
        <w:t xml:space="preserve">By Senator Darneille</w:t>
      </w:r>
    </w:p>
    <w:p>
      <w:pPr>
        <w:jc w:val="right"/>
      </w:pPr>
      <w:r>
        <w:rPr>
          <w:b/>
        </w:rPr>
        <w:t xml:space="preserve">ADOPTED 02/23/2018</w:t>
      </w:r>
    </w:p>
    <w:p>
      <w:pPr>
        <w:spacing w:before="0" w:after="0" w:line="408" w:lineRule="exact"/>
        <w:ind w:left="0" w:right="0" w:firstLine="576"/>
        <w:jc w:val="left"/>
      </w:pPr>
      <w:r>
        <w:rPr/>
        <w:t xml:space="preserve">On page 75, line 36, increase the General Fund</w:t>
      </w:r>
      <w:r>
        <w:rPr>
          <w:rFonts w:ascii="Times New Roman" w:hAnsi="Times New Roman"/>
        </w:rPr>
        <w:t xml:space="preserve">—</w:t>
      </w:r>
      <w:r>
        <w:rPr/>
        <w:t xml:space="preserve">State Appropriation (FY 2019) by $1,101,000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80, after line 26, insert the following:</w:t>
      </w:r>
    </w:p>
    <w:p>
      <w:pPr>
        <w:spacing w:before="0" w:after="0" w:line="408" w:lineRule="exact"/>
        <w:ind w:left="0" w:right="0" w:firstLine="576"/>
        <w:jc w:val="left"/>
      </w:pPr>
      <w:r>
        <w:rPr/>
        <w:t xml:space="preserve">"</w:t>
      </w:r>
      <w:r>
        <w:rPr>
          <w:u w:val="single"/>
        </w:rPr>
        <w:t xml:space="preserve">(13)(a) $101,000 of the general fund</w:t>
      </w:r>
      <w:r>
        <w:rPr>
          <w:rFonts w:ascii="Times New Roman" w:hAnsi="Times New Roman"/>
          <w:u w:val="single"/>
        </w:rPr>
        <w:t xml:space="preserve">—</w:t>
      </w:r>
      <w:r>
        <w:rPr>
          <w:u w:val="single"/>
        </w:rPr>
        <w:t xml:space="preserve">state appropriation for fiscal year 2019 is provided solely for the department through its office of juvenile justice to allocate funds to community truancy boards to implement a one-year pilot project in counties listed under (c) of this subsection to provide families with case management services, including the use of juvenile detention alternatives initiative strategies, when possible. The community truancy boards may provide these services directly or contract out for such services as appropriate. The amount appropriated under this subsection must not affect or impact those funds appropriated to counties implementing juvenile detention alternatives initiative strategies as of the effective date of this section.</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2019 is provided solely for the department through its juvenile rehabilitation administration to allocate funds to community truancy boards to implement a one-year pilot project in counties listed under (c) of this subsection to provide families with evidence-based services, including functional family therapy, when possible. The community truancy boards may contract out for such services as appropriate.</w:t>
      </w:r>
    </w:p>
    <w:p>
      <w:pPr>
        <w:spacing w:before="0" w:after="0" w:line="408" w:lineRule="exact"/>
        <w:ind w:left="0" w:right="0" w:firstLine="576"/>
        <w:jc w:val="left"/>
      </w:pPr>
      <w:r>
        <w:rPr>
          <w:u w:val="single"/>
        </w:rPr>
        <w:t xml:space="preserve">(c) The three pilot project counties under this subsection must consist of two counties on the western side of the Cascade mountain range and one county on the eastern side of the Cascade mountain range and:</w:t>
      </w:r>
    </w:p>
    <w:p>
      <w:pPr>
        <w:spacing w:before="0" w:after="0" w:line="408" w:lineRule="exact"/>
        <w:ind w:left="0" w:right="0" w:firstLine="576"/>
        <w:jc w:val="left"/>
      </w:pPr>
      <w:r>
        <w:rPr>
          <w:u w:val="single"/>
        </w:rPr>
        <w:t xml:space="preserve">(i) Must have, according to the detention report provided by the Washington state center for court research in response to chapter 205, Laws of 2016, the highest percentage use of detention for nonoffender matters;</w:t>
      </w:r>
    </w:p>
    <w:p>
      <w:pPr>
        <w:spacing w:before="0" w:after="0" w:line="408" w:lineRule="exact"/>
        <w:ind w:left="0" w:right="0" w:firstLine="576"/>
        <w:jc w:val="left"/>
      </w:pPr>
      <w:r>
        <w:rPr>
          <w:u w:val="single"/>
        </w:rPr>
        <w:t xml:space="preserve">(ii) Must have a high propensity to use a valid court order for detention purposes; and</w:t>
      </w:r>
    </w:p>
    <w:p>
      <w:pPr>
        <w:spacing w:before="0" w:after="0" w:line="408" w:lineRule="exact"/>
        <w:ind w:left="0" w:right="0" w:firstLine="576"/>
        <w:jc w:val="left"/>
      </w:pPr>
      <w:r>
        <w:rPr>
          <w:u w:val="single"/>
        </w:rPr>
        <w:t xml:space="preserve">(iii) Must have not implemented juvenile detention alternatives initiative strategies as part of its juvenile court system.</w:t>
      </w:r>
    </w:p>
    <w:p>
      <w:pPr>
        <w:spacing w:before="0" w:after="0" w:line="408" w:lineRule="exact"/>
        <w:ind w:left="0" w:right="0" w:firstLine="576"/>
        <w:jc w:val="left"/>
      </w:pPr>
      <w:r>
        <w:rPr>
          <w:u w:val="single"/>
        </w:rPr>
        <w:t xml:space="preserve">(d) The department must submit a report to the legislature, by December 1, 2019, that includes the number of youth and families that received evidence-based services or case management services, or both.</w:t>
      </w:r>
      <w:r>
        <w:rPr/>
        <w:t xml:space="preserve">"</w:t>
      </w:r>
    </w:p>
    <w:p>
      <w:pPr>
        <w:spacing w:before="0" w:after="0" w:line="408" w:lineRule="exact"/>
        <w:ind w:left="0" w:right="0" w:firstLine="576"/>
        <w:jc w:val="left"/>
      </w:pPr>
      <w:r>
        <w:rPr>
          <w:u w:val="single"/>
        </w:rPr>
        <w:t xml:space="preserve">EFFECT:</w:t>
      </w:r>
      <w:r>
        <w:rPr/>
        <w:t xml:space="preserve"> Provides funding for community truancy boards in three county pilot projects for one year to provide evidence-based services and case management services in these counties.</w:t>
      </w:r>
    </w:p>
    <w:p>
      <w:pPr>
        <w:spacing w:before="0" w:after="0" w:line="408" w:lineRule="exact"/>
        <w:ind w:left="0" w:right="0" w:firstLine="576"/>
        <w:jc w:val="left"/>
      </w:pPr>
      <w:r>
        <w:rPr>
          <w:u w:val="single"/>
        </w:rPr>
        <w:t xml:space="preserve">FISCAL EFFECT (2017-2019):</w:t>
      </w:r>
      <w:r>
        <w:rPr/>
        <w:t xml:space="preserve"> $1,101,000 Near General Fund</w:t>
      </w:r>
      <w:r>
        <w:rPr>
          <w:rFonts w:ascii="Times New Roman" w:hAnsi="Times New Roman"/>
        </w:rPr>
        <w:t xml:space="preserve">—</w:t>
      </w:r>
      <w:r>
        <w:rPr/>
        <w:t xml:space="preserve">State/$1,101,000 Total Funds</w:t>
      </w:r>
    </w:p>
    <w:p>
      <w:pPr>
        <w:spacing w:before="0" w:after="0" w:line="408" w:lineRule="exact"/>
        <w:ind w:left="0" w:right="0" w:firstLine="576"/>
        <w:jc w:val="left"/>
      </w:pPr>
      <w:r>
        <w:rPr>
          <w:u w:val="single"/>
        </w:rPr>
        <w:t xml:space="preserve">FOUR-YEAR OUTLOOK EFFECT:</w:t>
      </w:r>
      <w:r>
        <w:rPr/>
        <w:t xml:space="preserve"> $1,101,000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6ec8e7f5a84dfb" /></Relationships>
</file>